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5"/>
        <w:keepNext w:val="0"/>
        <w:keepLines w:val="0"/>
        <w:pageBreakBefore w:val="0"/>
        <w:widowControl w:val="0"/>
        <w:kinsoku/>
        <w:wordWrap/>
        <w:overflowPunct/>
        <w:topLinePunct w:val="0"/>
        <w:autoSpaceDE/>
        <w:autoSpaceDN/>
        <w:bidi w:val="0"/>
        <w:adjustRightInd w:val="0"/>
        <w:snapToGrid w:val="0"/>
        <w:spacing w:before="0" w:beforeLines="0" w:line="240" w:lineRule="auto"/>
        <w:ind w:left="0" w:leftChars="0" w:right="0" w:rightChars="0" w:firstLine="0" w:firstLineChars="0"/>
        <w:jc w:val="center"/>
        <w:textAlignment w:val="auto"/>
        <w:outlineLvl w:val="9"/>
        <w:rPr>
          <w:rFonts w:hint="eastAsia" w:ascii="方正小标宋_GBK" w:hAnsi="方正小标宋_GBK" w:eastAsia="方正小标宋_GBK" w:cs="方正小标宋_GBK"/>
          <w:sz w:val="28"/>
          <w:szCs w:val="13"/>
          <w:lang w:val="en-US" w:eastAsia="zh-CN"/>
        </w:rPr>
      </w:pPr>
      <w:bookmarkStart w:id="0" w:name="OLE_LINK1"/>
      <w:r>
        <w:rPr>
          <w:rFonts w:hint="eastAsia" w:ascii="方正小标宋_GBK" w:hAnsi="方正小标宋_GBK" w:cs="方正小标宋_GBK"/>
          <w:sz w:val="28"/>
          <w:szCs w:val="13"/>
          <w:lang w:val="en-US" w:eastAsia="zh-CN"/>
        </w:rPr>
        <w:t>《</w:t>
      </w:r>
      <w:r>
        <w:rPr>
          <w:rFonts w:hint="eastAsia" w:ascii="方正小标宋_GBK" w:hAnsi="方正小标宋_GBK" w:eastAsia="方正小标宋_GBK" w:cs="方正小标宋_GBK"/>
          <w:sz w:val="28"/>
          <w:szCs w:val="13"/>
          <w:lang w:val="en-US" w:eastAsia="zh-CN"/>
        </w:rPr>
        <w:t>井陉县辛庄乡国土空间总体规（2021-2035年）</w:t>
      </w:r>
      <w:r>
        <w:rPr>
          <w:rFonts w:hint="eastAsia" w:ascii="方正小标宋_GBK" w:hAnsi="方正小标宋_GBK" w:cs="方正小标宋_GBK"/>
          <w:sz w:val="28"/>
          <w:szCs w:val="13"/>
          <w:lang w:val="en-US" w:eastAsia="zh-CN"/>
        </w:rPr>
        <w:t>》批后公布</w:t>
      </w:r>
    </w:p>
    <w:bookmarkEnd w:id="0"/>
    <w:p>
      <w:pPr>
        <w:spacing w:beforeLines="0" w:afterLines="0"/>
        <w:jc w:val="left"/>
        <w:rPr>
          <w:rFonts w:hint="eastAsia" w:ascii="仿宋" w:hAnsi="仿宋" w:eastAsia="仿宋"/>
          <w:sz w:val="32"/>
        </w:rPr>
      </w:pPr>
      <w:bookmarkStart w:id="1" w:name="_Toc29968"/>
      <w:bookmarkStart w:id="2" w:name="_Toc31904_WPSOffice_Level1"/>
      <w:bookmarkStart w:id="9" w:name="_GoBack"/>
      <w:bookmarkEnd w:id="9"/>
      <w:r>
        <w:rPr>
          <w:rFonts w:hint="eastAsia" w:ascii="仿宋_GB2312" w:hAnsi="仿宋_GB2312" w:eastAsia="仿宋_GB2312" w:cs="仿宋_GB2312"/>
          <w:color w:val="000000"/>
          <w:szCs w:val="32"/>
        </w:rPr>
        <w:t>《井陉县</w:t>
      </w:r>
      <w:r>
        <w:rPr>
          <w:rFonts w:hint="eastAsia" w:cs="仿宋_GB2312"/>
          <w:color w:val="000000"/>
          <w:szCs w:val="32"/>
          <w:lang w:eastAsia="zh-CN"/>
        </w:rPr>
        <w:t>辛庄乡</w:t>
      </w:r>
      <w:r>
        <w:rPr>
          <w:rFonts w:hint="eastAsia" w:ascii="仿宋_GB2312" w:hAnsi="仿宋_GB2312" w:eastAsia="仿宋_GB2312" w:cs="仿宋_GB2312"/>
          <w:color w:val="000000"/>
          <w:szCs w:val="32"/>
        </w:rPr>
        <w:t>国土空间总体规划（2021-2035年）》</w:t>
      </w:r>
      <w:r>
        <w:rPr>
          <w:rFonts w:hint="eastAsia" w:cs="仿宋_GB2312"/>
          <w:color w:val="000000"/>
          <w:szCs w:val="32"/>
          <w:lang w:eastAsia="zh-CN"/>
        </w:rPr>
        <w:t>已于</w:t>
      </w:r>
      <w:r>
        <w:rPr>
          <w:rFonts w:hint="eastAsia" w:cs="仿宋_GB2312"/>
          <w:color w:val="000000"/>
          <w:szCs w:val="32"/>
          <w:lang w:val="en-US" w:eastAsia="zh-CN"/>
        </w:rPr>
        <w:t>2025年6月30日获井陉县人民政府批准（</w:t>
      </w:r>
      <w:r>
        <w:rPr>
          <w:rFonts w:hint="default" w:ascii="宋体" w:hAnsi="宋体" w:eastAsia="宋体" w:cs="宋体"/>
          <w:color w:val="0A0A0A"/>
          <w:w w:val="95"/>
          <w:sz w:val="32"/>
          <w:szCs w:val="32"/>
        </w:rPr>
        <w:t>井政</w:t>
      </w:r>
      <w:r>
        <w:rPr>
          <w:rFonts w:hint="default" w:ascii="宋体" w:hAnsi="宋体" w:eastAsia="宋体" w:cs="宋体"/>
          <w:color w:val="0A0A0A"/>
          <w:spacing w:val="-75"/>
          <w:w w:val="95"/>
          <w:sz w:val="32"/>
          <w:szCs w:val="32"/>
        </w:rPr>
        <w:t xml:space="preserve"> </w:t>
      </w:r>
      <w:r>
        <w:rPr>
          <w:rFonts w:hint="default" w:ascii="宋体" w:hAnsi="宋体" w:eastAsia="宋体" w:cs="宋体"/>
          <w:color w:val="0A0A0A"/>
          <w:w w:val="70"/>
          <w:sz w:val="32"/>
          <w:szCs w:val="32"/>
        </w:rPr>
        <w:t>〔</w:t>
      </w:r>
      <w:r>
        <w:rPr>
          <w:rFonts w:hint="default" w:ascii="宋体" w:hAnsi="宋体" w:eastAsia="宋体" w:cs="宋体"/>
          <w:color w:val="0A0A0A"/>
          <w:spacing w:val="-76"/>
          <w:w w:val="70"/>
          <w:sz w:val="32"/>
          <w:szCs w:val="32"/>
        </w:rPr>
        <w:t xml:space="preserve"> </w:t>
      </w:r>
      <w:r>
        <w:rPr>
          <w:rFonts w:hint="default" w:ascii="Times New Roman" w:hAnsi="Times New Roman" w:eastAsia="Times New Roman" w:cs="Times New Roman"/>
          <w:color w:val="0A0A0A"/>
          <w:w w:val="95"/>
          <w:sz w:val="32"/>
          <w:szCs w:val="32"/>
        </w:rPr>
        <w:t>2025〕68</w:t>
      </w:r>
      <w:r>
        <w:rPr>
          <w:rFonts w:hint="default" w:ascii="Times New Roman" w:hAnsi="Times New Roman" w:eastAsia="Times New Roman" w:cs="Times New Roman"/>
          <w:color w:val="0A0A0A"/>
          <w:spacing w:val="-30"/>
          <w:w w:val="95"/>
          <w:sz w:val="32"/>
          <w:szCs w:val="32"/>
        </w:rPr>
        <w:t xml:space="preserve"> </w:t>
      </w:r>
      <w:r>
        <w:rPr>
          <w:rFonts w:hint="default" w:ascii="宋体" w:hAnsi="宋体" w:eastAsia="宋体" w:cs="宋体"/>
          <w:color w:val="0A0A0A"/>
          <w:w w:val="95"/>
          <w:sz w:val="32"/>
          <w:szCs w:val="32"/>
        </w:rPr>
        <w:t>号</w:t>
      </w:r>
      <w:r>
        <w:rPr>
          <w:rFonts w:hint="eastAsia" w:cs="仿宋_GB2312"/>
          <w:color w:val="000000"/>
          <w:szCs w:val="32"/>
          <w:lang w:val="en-US" w:eastAsia="zh-CN"/>
        </w:rPr>
        <w:t>）</w:t>
      </w:r>
      <w:r>
        <w:rPr>
          <w:rFonts w:hint="eastAsia" w:ascii="仿宋" w:hAnsi="仿宋" w:eastAsia="仿宋"/>
          <w:sz w:val="32"/>
        </w:rPr>
        <w:t>，现予以</w:t>
      </w:r>
      <w:r>
        <w:rPr>
          <w:rFonts w:hint="eastAsia" w:cs="仿宋_GB2312"/>
          <w:color w:val="000000"/>
          <w:szCs w:val="32"/>
          <w:lang w:val="en-US" w:eastAsia="zh-CN"/>
        </w:rPr>
        <w:t>公告。为贯彻落实《中共中央国务院关于建立国土空间规划体系并监督实施的若干意见》、《全国国土空间规划纲要（2021-2035年）》、《京津冀协同发展规划纲要》《河北省国土空间规划（2021-2035 年）》、《石家庄市国土空间总体规划（2021-2035 年）》、《井陉县国土空间总体规划（2021-2035 年）》各项要求，推动</w:t>
      </w:r>
      <w:r>
        <w:rPr>
          <w:rFonts w:hint="eastAsia" w:ascii="仿宋" w:hAnsi="仿宋" w:eastAsia="仿宋"/>
          <w:sz w:val="32"/>
        </w:rPr>
        <w:t>形成人与自然和谐共生的国土空间开发保护新格局，提升空间治理现代化水平，编制本规划。</w:t>
      </w:r>
    </w:p>
    <w:p>
      <w:pPr>
        <w:spacing w:before="0"/>
        <w:ind w:right="-59" w:rightChars="-27"/>
        <w:jc w:val="left"/>
        <w:rPr>
          <w:rFonts w:hint="default" w:ascii="宋体" w:hAnsi="宋体" w:eastAsia="宋体" w:cs="宋体"/>
          <w:sz w:val="32"/>
          <w:szCs w:val="32"/>
        </w:rPr>
      </w:pPr>
      <w:r>
        <w:rPr>
          <w:rFonts w:hint="eastAsia" w:ascii="仿宋" w:hAnsi="仿宋" w:eastAsia="仿宋"/>
          <w:sz w:val="32"/>
        </w:rPr>
        <w:t>现将规划主要内容公布如下：</w:t>
      </w:r>
    </w:p>
    <w:p>
      <w:pPr>
        <w:spacing w:beforeLines="0" w:afterLines="0"/>
        <w:jc w:val="left"/>
        <w:rPr>
          <w:rFonts w:hint="eastAsia" w:ascii="黑体" w:hAnsi="黑体" w:eastAsia="黑体"/>
          <w:color w:val="333333"/>
          <w:sz w:val="32"/>
        </w:rPr>
      </w:pPr>
      <w:r>
        <w:rPr>
          <w:rFonts w:hint="eastAsia" w:ascii="黑体" w:hAnsi="黑体" w:eastAsia="黑体"/>
          <w:color w:val="333333"/>
          <w:sz w:val="32"/>
        </w:rPr>
        <w:t>一、规划范围</w:t>
      </w:r>
    </w:p>
    <w:p>
      <w:pPr>
        <w:rPr>
          <w:rFonts w:hint="eastAsia"/>
          <w:lang w:val="en-US" w:eastAsia="zh-CN"/>
        </w:rPr>
      </w:pPr>
      <w:r>
        <w:rPr>
          <w:rFonts w:hint="eastAsia"/>
          <w:lang w:val="en-US" w:eastAsia="zh-CN"/>
        </w:rPr>
        <w:t>本规划分为乡域和乡政府驻地两个层次。</w:t>
      </w:r>
    </w:p>
    <w:p>
      <w:pPr>
        <w:rPr>
          <w:rFonts w:hint="eastAsia"/>
          <w:lang w:val="en-US" w:eastAsia="zh-CN"/>
        </w:rPr>
      </w:pPr>
      <w:r>
        <w:rPr>
          <w:rFonts w:hint="eastAsia"/>
          <w:lang w:val="en-US" w:eastAsia="zh-CN"/>
        </w:rPr>
        <w:t>乡域规划范围为辛庄乡行政辖区，包括38个行政村，总面积162.93平方公里（含井陉矿区部分飞地）。乡政府规划范围涉及辛庄村，乡政府驻地建设边界面积为</w:t>
      </w:r>
      <w:r>
        <w:rPr>
          <w:rFonts w:hint="eastAsia"/>
          <w:highlight w:val="none"/>
          <w:lang w:val="en-US" w:eastAsia="zh-CN"/>
        </w:rPr>
        <w:t>15.13公顷</w:t>
      </w:r>
      <w:r>
        <w:rPr>
          <w:rFonts w:hint="eastAsia"/>
          <w:lang w:val="en-US" w:eastAsia="zh-CN"/>
        </w:rPr>
        <w:t>。</w:t>
      </w:r>
    </w:p>
    <w:p>
      <w:pPr>
        <w:numPr>
          <w:ilvl w:val="0"/>
          <w:numId w:val="4"/>
        </w:numPr>
        <w:rPr>
          <w:rFonts w:hint="eastAsia" w:ascii="黑体" w:hAnsi="黑体" w:eastAsia="黑体"/>
          <w:color w:val="333333"/>
          <w:sz w:val="32"/>
        </w:rPr>
      </w:pPr>
      <w:r>
        <w:rPr>
          <w:rFonts w:hint="eastAsia" w:ascii="黑体" w:hAnsi="黑体" w:eastAsia="黑体"/>
          <w:color w:val="333333"/>
          <w:sz w:val="32"/>
        </w:rPr>
        <w:t>规划期限</w:t>
      </w:r>
    </w:p>
    <w:p>
      <w:pPr>
        <w:rPr>
          <w:rFonts w:hint="eastAsia"/>
          <w:lang w:val="en-US" w:eastAsia="zh-CN"/>
        </w:rPr>
      </w:pPr>
      <w:r>
        <w:rPr>
          <w:rFonts w:hint="eastAsia"/>
          <w:lang w:val="en-US" w:eastAsia="zh-CN"/>
        </w:rPr>
        <w:t>规划基期年为2020年，规划期限为2021年—2035年，近期至2025年，远景展望到2050年。</w:t>
      </w:r>
    </w:p>
    <w:p>
      <w:pPr>
        <w:pStyle w:val="4"/>
        <w:numPr>
          <w:numId w:val="0"/>
        </w:numPr>
        <w:ind w:leftChars="200"/>
      </w:pPr>
      <w:r>
        <w:rPr>
          <w:rFonts w:hint="eastAsia" w:ascii="黑体" w:hAnsi="黑体" w:eastAsia="黑体"/>
          <w:color w:val="333333"/>
          <w:sz w:val="32"/>
        </w:rPr>
        <w:t>三、规划定位</w:t>
      </w:r>
    </w:p>
    <w:bookmarkEnd w:id="1"/>
    <w:bookmarkEnd w:id="2"/>
    <w:p>
      <w:pPr>
        <w:rPr>
          <w:rFonts w:hint="eastAsia"/>
          <w:lang w:val="en-US" w:eastAsia="zh-CN"/>
        </w:rPr>
      </w:pPr>
      <w:r>
        <w:rPr>
          <w:rFonts w:hint="eastAsia"/>
          <w:lang w:val="en-US" w:eastAsia="zh-CN"/>
        </w:rPr>
        <w:t>红色旅游和生态旅游融合发展的示范乡。</w:t>
      </w:r>
    </w:p>
    <w:p>
      <w:pPr>
        <w:pStyle w:val="4"/>
        <w:numPr>
          <w:numId w:val="0"/>
        </w:numPr>
        <w:ind w:leftChars="200"/>
      </w:pPr>
      <w:r>
        <w:rPr>
          <w:rFonts w:hint="eastAsia" w:ascii="黑体" w:hAnsi="黑体" w:eastAsia="黑体"/>
          <w:color w:val="333333"/>
          <w:sz w:val="32"/>
          <w:lang w:eastAsia="zh-CN"/>
        </w:rPr>
        <w:t>四</w:t>
      </w:r>
      <w:r>
        <w:rPr>
          <w:rFonts w:hint="eastAsia" w:ascii="黑体" w:hAnsi="黑体" w:eastAsia="黑体"/>
          <w:color w:val="333333"/>
          <w:sz w:val="32"/>
        </w:rPr>
        <w:t>、规划</w:t>
      </w:r>
      <w:r>
        <w:rPr>
          <w:rFonts w:hint="eastAsia" w:ascii="黑体" w:hAnsi="黑体" w:eastAsia="黑体"/>
          <w:color w:val="333333"/>
          <w:sz w:val="32"/>
          <w:lang w:eastAsia="zh-CN"/>
        </w:rPr>
        <w:t>目标</w:t>
      </w:r>
    </w:p>
    <w:p>
      <w:pPr>
        <w:rPr>
          <w:rFonts w:hint="eastAsia"/>
          <w:lang w:val="en-US" w:eastAsia="zh-CN"/>
        </w:rPr>
      </w:pPr>
      <w:r>
        <w:rPr>
          <w:rFonts w:hint="eastAsia"/>
          <w:lang w:val="en-US" w:eastAsia="zh-CN"/>
        </w:rPr>
        <w:t>到2025年，乡域国土空间开发保护格局明显改善，土地使用效率显著提升。基础设施条件持续改善，现代产业体系初步构建，绿色发展全面推进；一二三产业融合发展格局初步形成，产业加快发展，农民收入水平进一步提高。</w:t>
      </w:r>
    </w:p>
    <w:p>
      <w:pPr>
        <w:rPr>
          <w:rFonts w:hint="eastAsia"/>
          <w:lang w:val="en-US" w:eastAsia="zh-CN"/>
        </w:rPr>
      </w:pPr>
      <w:r>
        <w:rPr>
          <w:rFonts w:hint="eastAsia"/>
          <w:lang w:val="en-US" w:eastAsia="zh-CN"/>
        </w:rPr>
        <w:t>到2035年，适应全域全要素用途管制要求的国土空间开发保护格局全面形成，大力发展一二三产融合产业，旅游业得到长足发展。功能定位基本实现，经济社会充分发展，生产、生活、生态空间布局平衡协调，高质量、特色鲜明的产业结构基本建立。</w:t>
      </w:r>
    </w:p>
    <w:p>
      <w:pPr>
        <w:numPr>
          <w:ilvl w:val="0"/>
          <w:numId w:val="5"/>
        </w:numPr>
        <w:rPr>
          <w:rFonts w:hint="eastAsia" w:ascii="黑体" w:hAnsi="黑体" w:eastAsia="黑体"/>
          <w:sz w:val="32"/>
        </w:rPr>
      </w:pPr>
      <w:r>
        <w:rPr>
          <w:rFonts w:hint="eastAsia" w:ascii="黑体" w:hAnsi="黑体" w:eastAsia="黑体"/>
          <w:sz w:val="32"/>
        </w:rPr>
        <w:t>落实“三区三线”</w:t>
      </w:r>
    </w:p>
    <w:p>
      <w:pPr>
        <w:spacing w:beforeLines="0" w:afterLines="0"/>
        <w:jc w:val="left"/>
        <w:rPr>
          <w:rFonts w:hint="eastAsia"/>
          <w:lang w:val="en-US" w:eastAsia="zh-CN"/>
        </w:rPr>
      </w:pPr>
      <w:r>
        <w:rPr>
          <w:rFonts w:hint="eastAsia" w:ascii="仿宋" w:hAnsi="仿宋" w:eastAsia="仿宋"/>
          <w:color w:val="333333"/>
          <w:sz w:val="32"/>
        </w:rPr>
        <w:t>筑牢国土空间底线，</w:t>
      </w:r>
      <w:r>
        <w:rPr>
          <w:rFonts w:hint="eastAsia" w:ascii="仿宋" w:hAnsi="仿宋" w:eastAsia="仿宋"/>
          <w:color w:val="333333"/>
          <w:sz w:val="32"/>
          <w:lang w:eastAsia="zh-CN"/>
        </w:rPr>
        <w:t>辛庄乡</w:t>
      </w:r>
      <w:r>
        <w:rPr>
          <w:rFonts w:hint="eastAsia" w:ascii="仿宋" w:hAnsi="仿宋" w:eastAsia="仿宋"/>
          <w:color w:val="000000"/>
          <w:sz w:val="32"/>
        </w:rPr>
        <w:t>耕地保有量</w:t>
      </w:r>
      <w:r>
        <w:rPr>
          <w:rFonts w:hint="eastAsia"/>
          <w:lang w:val="en-US" w:eastAsia="zh-CN"/>
        </w:rPr>
        <w:t>规划期内乡域耕地保有量不低于1.403万亩，永久基本农田面积不低于1.339万亩；乡域生态红线面积不低于11474.49公顷。</w:t>
      </w:r>
    </w:p>
    <w:p>
      <w:pPr>
        <w:numPr>
          <w:ilvl w:val="0"/>
          <w:numId w:val="5"/>
        </w:numPr>
        <w:rPr>
          <w:rFonts w:hint="eastAsia" w:ascii="黑体" w:hAnsi="黑体" w:eastAsia="黑体"/>
          <w:sz w:val="32"/>
          <w:lang w:val="en-US" w:eastAsia="zh-CN"/>
        </w:rPr>
      </w:pPr>
      <w:r>
        <w:rPr>
          <w:rFonts w:hint="eastAsia" w:ascii="黑体" w:hAnsi="黑体" w:eastAsia="黑体"/>
          <w:sz w:val="32"/>
        </w:rPr>
        <w:t>落实主体功能区布局</w:t>
      </w:r>
    </w:p>
    <w:p>
      <w:pPr>
        <w:rPr>
          <w:rFonts w:hint="eastAsia"/>
          <w:lang w:val="en-US" w:eastAsia="zh-CN"/>
        </w:rPr>
      </w:pPr>
      <w:r>
        <w:rPr>
          <w:rFonts w:hint="eastAsia"/>
          <w:lang w:val="en-US" w:eastAsia="zh-CN"/>
        </w:rPr>
        <w:t>落实井陉县国土空间总体规划对辛庄乡的主体功能区及定位，辛庄乡为重点生态功能区。</w:t>
      </w:r>
    </w:p>
    <w:p>
      <w:pPr>
        <w:numPr>
          <w:ilvl w:val="0"/>
          <w:numId w:val="5"/>
        </w:numPr>
        <w:rPr>
          <w:rFonts w:hint="eastAsia" w:ascii="黑体" w:hAnsi="黑体" w:eastAsia="黑体"/>
          <w:sz w:val="32"/>
          <w:lang w:val="en-US"/>
        </w:rPr>
      </w:pPr>
      <w:bookmarkStart w:id="3" w:name="_Toc28468"/>
      <w:bookmarkStart w:id="4" w:name="_Toc29112"/>
      <w:r>
        <w:rPr>
          <w:rFonts w:hint="eastAsia" w:ascii="黑体" w:hAnsi="黑体" w:eastAsia="黑体"/>
          <w:sz w:val="32"/>
          <w:lang w:eastAsia="zh-CN"/>
        </w:rPr>
        <w:t>国土空间开发保护总体格局</w:t>
      </w:r>
      <w:bookmarkEnd w:id="3"/>
      <w:bookmarkEnd w:id="4"/>
    </w:p>
    <w:p>
      <w:pPr>
        <w:rPr>
          <w:rFonts w:hint="eastAsia"/>
          <w:lang w:val="en-US" w:eastAsia="zh-CN"/>
        </w:rPr>
      </w:pPr>
      <w:r>
        <w:rPr>
          <w:rFonts w:hint="eastAsia"/>
          <w:lang w:val="en-US" w:eastAsia="zh-CN"/>
        </w:rPr>
        <w:t>规划构建“一核、三区、多点”的国土空间保护开发总体格局。</w:t>
      </w:r>
    </w:p>
    <w:p>
      <w:pPr>
        <w:rPr>
          <w:rFonts w:hint="eastAsia"/>
          <w:lang w:val="en-US" w:eastAsia="zh-CN"/>
        </w:rPr>
      </w:pPr>
      <w:r>
        <w:rPr>
          <w:rFonts w:hint="eastAsia"/>
          <w:lang w:val="en-US" w:eastAsia="zh-CN"/>
        </w:rPr>
        <w:t>一核：结合乡政府驻地打造全乡综合服务中心，重点提升公共服务和旅游服务功能，带动全域发展；</w:t>
      </w:r>
    </w:p>
    <w:p>
      <w:pPr>
        <w:pStyle w:val="31"/>
        <w:adjustRightInd w:val="0"/>
        <w:spacing w:before="0" w:beforeLines="0" w:after="120" w:line="600" w:lineRule="exact"/>
        <w:ind w:firstLine="640"/>
        <w:rPr>
          <w:rFonts w:hint="eastAsia" w:ascii="仿宋_GB2312" w:hAnsi="仿宋_GB2312" w:eastAsia="仿宋_GB2312" w:cs="仿宋_GB2312"/>
          <w:kern w:val="2"/>
          <w:sz w:val="32"/>
          <w:szCs w:val="22"/>
          <w:shd w:val="clear" w:color="auto" w:fill="auto"/>
          <w:lang w:val="en-US" w:eastAsia="zh-CN" w:bidi="ar-SA"/>
        </w:rPr>
      </w:pPr>
      <w:r>
        <w:rPr>
          <w:rFonts w:hint="eastAsia" w:ascii="仿宋_GB2312" w:hAnsi="仿宋_GB2312" w:eastAsia="仿宋_GB2312" w:cs="仿宋_GB2312"/>
          <w:kern w:val="2"/>
          <w:sz w:val="32"/>
          <w:szCs w:val="22"/>
          <w:shd w:val="clear" w:color="auto" w:fill="auto"/>
          <w:lang w:val="en-US" w:eastAsia="zh-CN" w:bidi="ar-SA"/>
        </w:rPr>
        <w:t>三区：分别为西北部特色农业种植区、东北部红色旅游发展区、南部人文与自然旅游区；</w:t>
      </w:r>
    </w:p>
    <w:p>
      <w:pPr>
        <w:rPr>
          <w:rFonts w:hint="eastAsia"/>
          <w:lang w:val="en-US" w:eastAsia="zh-CN"/>
        </w:rPr>
      </w:pPr>
      <w:r>
        <w:rPr>
          <w:rFonts w:hint="eastAsia"/>
          <w:lang w:val="en-US" w:eastAsia="zh-CN"/>
        </w:rPr>
        <w:t>多点：依托传统村落及中心村打造区域发展动力点。</w:t>
      </w:r>
    </w:p>
    <w:p>
      <w:pPr>
        <w:numPr>
          <w:ilvl w:val="0"/>
          <w:numId w:val="5"/>
        </w:numPr>
        <w:rPr>
          <w:rFonts w:hint="eastAsia" w:ascii="黑体" w:hAnsi="黑体" w:eastAsia="黑体"/>
          <w:sz w:val="32"/>
          <w:lang w:eastAsia="zh-CN"/>
        </w:rPr>
      </w:pPr>
      <w:bookmarkStart w:id="5" w:name="_Toc30376"/>
      <w:bookmarkStart w:id="6" w:name="_Toc10583"/>
      <w:r>
        <w:rPr>
          <w:rFonts w:hint="eastAsia" w:ascii="黑体" w:hAnsi="黑体" w:eastAsia="黑体"/>
          <w:sz w:val="32"/>
          <w:lang w:eastAsia="zh-CN"/>
        </w:rPr>
        <w:t>国土空间规划分区和功能结构</w:t>
      </w:r>
      <w:bookmarkEnd w:id="5"/>
      <w:bookmarkEnd w:id="6"/>
    </w:p>
    <w:p>
      <w:pPr>
        <w:rPr>
          <w:rFonts w:hint="eastAsia"/>
          <w:lang w:val="en-US" w:eastAsia="zh-CN"/>
        </w:rPr>
      </w:pPr>
      <w:r>
        <w:rPr>
          <w:rFonts w:hint="eastAsia"/>
          <w:lang w:val="en-US" w:eastAsia="zh-CN"/>
        </w:rPr>
        <w:t>落实和深化主体功能区战略，充分衔接三条控制线，将乡域划分生态保护区、生态控制区、农田保护区、乡村发展区四类一级规划分区，乡村发展区细化为村庄建设区、一般农业区和林业发展区等二级规划分区。严格落实县级规划确定的各类约束性指标，立足土地利用现状，稳定农用地结构，优化城乡建设用地布局，保护和修复陆地水域等原有空间，统筹安排各类用地。</w:t>
      </w:r>
    </w:p>
    <w:p>
      <w:pPr>
        <w:numPr>
          <w:ilvl w:val="0"/>
          <w:numId w:val="5"/>
        </w:numPr>
        <w:rPr>
          <w:rFonts w:hint="eastAsia" w:ascii="黑体" w:hAnsi="黑体" w:eastAsia="黑体"/>
          <w:sz w:val="32"/>
          <w:lang w:eastAsia="zh-CN"/>
        </w:rPr>
      </w:pPr>
      <w:r>
        <w:rPr>
          <w:rFonts w:hint="eastAsia" w:ascii="黑体" w:hAnsi="黑体" w:eastAsia="黑体"/>
          <w:sz w:val="32"/>
          <w:lang w:eastAsia="zh-CN"/>
        </w:rPr>
        <w:t>优化城乡布局</w:t>
      </w:r>
    </w:p>
    <w:p>
      <w:pPr>
        <w:rPr>
          <w:rFonts w:hint="eastAsia"/>
          <w:lang w:val="en-US" w:eastAsia="zh-CN"/>
        </w:rPr>
      </w:pPr>
      <w:r>
        <w:rPr>
          <w:rFonts w:hint="eastAsia"/>
          <w:lang w:val="en-US" w:eastAsia="zh-CN"/>
        </w:rPr>
        <w:t>综合考虑人口规模、经济职能、辐射范围等因素，规划形成“乡政府驻地+中心村+基层村”三级体系，包括1个乡政府驻地、2个中心村，35个基层村。</w:t>
      </w:r>
    </w:p>
    <w:p>
      <w:pPr>
        <w:rPr>
          <w:rFonts w:hint="eastAsia"/>
          <w:lang w:val="en-US" w:eastAsia="zh-CN"/>
        </w:rPr>
      </w:pPr>
      <w:r>
        <w:rPr>
          <w:rFonts w:hint="eastAsia"/>
          <w:lang w:val="en-US" w:eastAsia="zh-CN"/>
        </w:rPr>
        <w:t>乡政府驻地为全乡政治、经济、文化等综合服务中心，带动全乡发展，是全乡的镇村中心。</w:t>
      </w:r>
    </w:p>
    <w:p>
      <w:pPr>
        <w:rPr>
          <w:rFonts w:hint="eastAsia"/>
          <w:lang w:val="en-US" w:eastAsia="zh-CN"/>
        </w:rPr>
      </w:pPr>
      <w:r>
        <w:rPr>
          <w:rFonts w:hint="eastAsia"/>
          <w:lang w:val="en-US" w:eastAsia="zh-CN"/>
        </w:rPr>
        <w:t>中心村配备较为齐备的公共服务设施和健全的基础设施，积极培育产业功能，成为局部片区的农村生活中心，辐射带动周边乡村发展。</w:t>
      </w:r>
    </w:p>
    <w:p>
      <w:pPr>
        <w:rPr>
          <w:rFonts w:hint="eastAsia"/>
          <w:lang w:val="en-US" w:eastAsia="zh-CN"/>
        </w:rPr>
      </w:pPr>
      <w:r>
        <w:rPr>
          <w:rFonts w:hint="eastAsia"/>
          <w:lang w:val="en-US" w:eastAsia="zh-CN"/>
        </w:rPr>
        <w:t>基层村重点完善村庄生产生活设施，提升村庄基本保障能力。</w:t>
      </w:r>
    </w:p>
    <w:p>
      <w:pPr>
        <w:numPr>
          <w:ilvl w:val="0"/>
          <w:numId w:val="5"/>
        </w:numPr>
        <w:rPr>
          <w:rFonts w:hint="eastAsia" w:ascii="黑体" w:hAnsi="黑体" w:eastAsia="黑体"/>
          <w:sz w:val="32"/>
          <w:lang w:eastAsia="zh-CN"/>
        </w:rPr>
      </w:pPr>
      <w:r>
        <w:rPr>
          <w:rFonts w:hint="eastAsia" w:ascii="黑体" w:hAnsi="黑体" w:eastAsia="黑体"/>
          <w:sz w:val="32"/>
          <w:lang w:eastAsia="zh-CN"/>
        </w:rPr>
        <w:t>乡政府驻地</w:t>
      </w:r>
    </w:p>
    <w:p>
      <w:pPr>
        <w:spacing w:before="156"/>
        <w:ind w:firstLine="640"/>
        <w:rPr>
          <w:rFonts w:hint="eastAsia"/>
          <w:lang w:val="en-US" w:eastAsia="zh-CN"/>
        </w:rPr>
      </w:pPr>
      <w:r>
        <w:rPr>
          <w:rFonts w:hint="eastAsia"/>
          <w:lang w:val="en-US" w:eastAsia="zh-CN"/>
        </w:rPr>
        <w:t>尊重乡政府驻地现状格局肌理，完善配套设施，形成“一心、一轴、两片区”的功能布局结构。</w:t>
      </w:r>
    </w:p>
    <w:p>
      <w:pPr>
        <w:spacing w:before="156"/>
        <w:ind w:firstLine="640"/>
        <w:rPr>
          <w:rFonts w:hint="eastAsia"/>
          <w:lang w:val="en-US" w:eastAsia="zh-CN"/>
        </w:rPr>
      </w:pPr>
      <w:r>
        <w:rPr>
          <w:rFonts w:hint="eastAsia"/>
          <w:lang w:val="en-US" w:eastAsia="zh-CN"/>
        </w:rPr>
        <w:t>“一心”指在依托乡政府驻地现状建成公共服务中心，包括乡政府、中小学、卫生院等，形成为全乡居民生活服务的公共设施服务中心。</w:t>
      </w:r>
    </w:p>
    <w:p>
      <w:pPr>
        <w:spacing w:before="156"/>
        <w:ind w:firstLine="640"/>
        <w:rPr>
          <w:rFonts w:hint="eastAsia"/>
          <w:lang w:val="en-US" w:eastAsia="zh-CN"/>
        </w:rPr>
      </w:pPr>
      <w:r>
        <w:rPr>
          <w:rFonts w:hint="eastAsia"/>
          <w:lang w:val="en-US" w:eastAsia="zh-CN"/>
        </w:rPr>
        <w:t>“一轴”指的是提升完善现状省道334两侧公共服务和商业旅游业配套服务，布置景观小品，形成贯穿乡政府驻地、改善乡政府驻地景观形象的服务轴带。</w:t>
      </w:r>
    </w:p>
    <w:p>
      <w:pPr>
        <w:spacing w:before="156"/>
        <w:ind w:firstLine="640"/>
        <w:rPr>
          <w:rFonts w:hint="eastAsia"/>
          <w:lang w:val="en-US" w:eastAsia="zh-CN"/>
        </w:rPr>
      </w:pPr>
      <w:r>
        <w:rPr>
          <w:rFonts w:hint="eastAsia"/>
          <w:lang w:val="en-US" w:eastAsia="zh-CN"/>
        </w:rPr>
        <w:t>“两片区”指的是乡政府驻地分为东部和西部两部分，东部以公共服务为主，西部以村民居住为主。</w:t>
      </w:r>
    </w:p>
    <w:p>
      <w:pPr>
        <w:numPr>
          <w:ilvl w:val="0"/>
          <w:numId w:val="5"/>
        </w:numPr>
        <w:rPr>
          <w:rFonts w:hint="eastAsia" w:ascii="黑体" w:hAnsi="黑体" w:eastAsia="黑体"/>
          <w:sz w:val="32"/>
          <w:lang w:eastAsia="zh-CN"/>
        </w:rPr>
      </w:pPr>
      <w:r>
        <w:rPr>
          <w:rFonts w:hint="eastAsia" w:ascii="黑体" w:hAnsi="黑体" w:eastAsia="黑体"/>
          <w:sz w:val="32"/>
          <w:lang w:eastAsia="zh-CN"/>
        </w:rPr>
        <w:t>规划传导实施与近期实施</w:t>
      </w:r>
    </w:p>
    <w:p>
      <w:pPr>
        <w:numPr>
          <w:ilvl w:val="0"/>
          <w:numId w:val="0"/>
        </w:numPr>
        <w:rPr>
          <w:rFonts w:hint="eastAsia" w:ascii="黑体" w:hAnsi="黑体" w:eastAsia="黑体"/>
          <w:sz w:val="32"/>
          <w:lang w:eastAsia="zh-CN"/>
        </w:rPr>
      </w:pPr>
    </w:p>
    <w:p>
      <w:pPr>
        <w:numPr>
          <w:ilvl w:val="0"/>
          <w:numId w:val="5"/>
        </w:numPr>
        <w:rPr>
          <w:rFonts w:hint="eastAsia" w:ascii="黑体" w:hAnsi="黑体" w:eastAsia="黑体"/>
          <w:sz w:val="32"/>
          <w:lang w:eastAsia="zh-CN"/>
        </w:rPr>
      </w:pPr>
      <w:r>
        <w:rPr>
          <w:rFonts w:hint="eastAsia" w:ascii="黑体" w:hAnsi="黑体" w:eastAsia="黑体"/>
          <w:sz w:val="32"/>
          <w:lang w:eastAsia="zh-CN"/>
        </w:rPr>
        <w:t>规划传导实施与近期实施</w:t>
      </w:r>
    </w:p>
    <w:p>
      <w:pPr>
        <w:spacing w:before="156"/>
        <w:ind w:firstLine="640"/>
        <w:rPr>
          <w:rFonts w:hint="eastAsia"/>
          <w:lang w:val="en-US" w:eastAsia="zh-CN"/>
        </w:rPr>
      </w:pPr>
    </w:p>
    <w:p>
      <w:pPr>
        <w:spacing w:before="156"/>
        <w:ind w:firstLine="640"/>
        <w:rPr>
          <w:rFonts w:hint="eastAsia"/>
          <w:lang w:val="en-US" w:eastAsia="zh-CN"/>
        </w:rPr>
      </w:pPr>
    </w:p>
    <w:p>
      <w:pPr>
        <w:numPr>
          <w:ilvl w:val="0"/>
          <w:numId w:val="5"/>
        </w:numPr>
        <w:rPr>
          <w:rFonts w:hint="eastAsia" w:ascii="黑体" w:hAnsi="黑体" w:eastAsia="黑体"/>
          <w:sz w:val="32"/>
          <w:lang w:eastAsia="zh-CN"/>
        </w:rPr>
      </w:pPr>
      <w:bookmarkStart w:id="7" w:name="_Toc10016"/>
      <w:bookmarkStart w:id="8" w:name="_Toc26329"/>
      <w:r>
        <w:rPr>
          <w:rFonts w:hint="eastAsia" w:ascii="黑体" w:hAnsi="黑体" w:eastAsia="黑体"/>
          <w:sz w:val="32"/>
          <w:lang w:eastAsia="zh-CN"/>
        </w:rPr>
        <w:t>规划传导实施与近期实施</w:t>
      </w:r>
      <w:bookmarkEnd w:id="7"/>
      <w:bookmarkEnd w:id="8"/>
    </w:p>
    <w:p>
      <w:pPr>
        <w:rPr>
          <w:rFonts w:hint="eastAsia"/>
        </w:rPr>
      </w:pPr>
      <w:r>
        <w:rPr>
          <w:rFonts w:hint="eastAsia"/>
          <w:lang w:eastAsia="zh-CN"/>
        </w:rPr>
        <w:t>对上位规划的落实。</w:t>
      </w:r>
      <w:r>
        <w:rPr>
          <w:rFonts w:hint="eastAsia"/>
        </w:rPr>
        <w:t>落实井陉县</w:t>
      </w:r>
      <w:r>
        <w:rPr>
          <w:rFonts w:hint="eastAsia"/>
          <w:lang w:eastAsia="zh-CN"/>
        </w:rPr>
        <w:t>国土空间总体规划</w:t>
      </w:r>
      <w:r>
        <w:rPr>
          <w:rFonts w:hint="eastAsia"/>
        </w:rPr>
        <w:t>对辛庄乡的职能定位、人口和建设用地规模，生态保护红线面积、耕地保有量、永久基本农田保护面积、城镇建设用地规模等约束性指标，以及“三区三线”和重大基础设施、生态廊道等空间布局。</w:t>
      </w:r>
    </w:p>
    <w:p>
      <w:pPr>
        <w:rPr>
          <w:rFonts w:hint="eastAsia"/>
        </w:rPr>
      </w:pPr>
      <w:r>
        <w:rPr>
          <w:rFonts w:hint="eastAsia"/>
          <w:lang w:val="en-US" w:eastAsia="zh-CN"/>
        </w:rPr>
        <w:t>对村庄规划的传导。确定村庄规划编制单元，辛庄村为乡政府驻地规划范围内村庄及已单独编制规划的村庄，不再单独编制村庄规划。其他不进行开发建设或进行人居环境整治的村庄，可依据县、乡镇国土空间规划中明确的国土空间用途和建设管控要求进行通则式管控</w:t>
      </w:r>
      <w:r>
        <w:rPr>
          <w:rFonts w:hint="eastAsia"/>
        </w:rPr>
        <w:t>。</w:t>
      </w:r>
    </w:p>
    <w:p>
      <w:pPr>
        <w:rPr>
          <w:rFonts w:hint="eastAsia"/>
          <w:lang w:val="en-US"/>
        </w:rPr>
      </w:pPr>
      <w:r>
        <w:rPr>
          <w:rFonts w:hint="eastAsia"/>
          <w:lang w:val="en-US" w:eastAsia="zh-CN"/>
        </w:rPr>
        <w:t>加强国土空间用途管制。结合国土资源保护开发中的事权划分，健全辛庄乡国土空间用途管制、空间管控传导、区域联动等制度，提出人口流动、资源配置、项目建设、动态监测等规划实施措施。</w:t>
      </w:r>
    </w:p>
    <w:p>
      <w:pPr>
        <w:bidi w:val="0"/>
        <w:ind w:left="0" w:leftChars="0" w:firstLine="0" w:firstLineChars="0"/>
        <w:rPr>
          <w:rFonts w:hint="default"/>
          <w:lang w:val="en-US" w:eastAsia="zh-CN"/>
        </w:rPr>
        <w:sectPr>
          <w:headerReference r:id="rId3" w:type="default"/>
          <w:footerReference r:id="rId4" w:type="default"/>
          <w:pgSz w:w="11906" w:h="16838"/>
          <w:pgMar w:top="1440" w:right="1803" w:bottom="1440" w:left="1803" w:header="851" w:footer="992" w:gutter="0"/>
          <w:pgBorders>
            <w:top w:val="none" w:color="auto" w:sz="0" w:space="0"/>
            <w:left w:val="none" w:color="auto" w:sz="0" w:space="0"/>
            <w:bottom w:val="none" w:color="auto" w:sz="0" w:space="0"/>
            <w:right w:val="none" w:color="auto" w:sz="0" w:space="0"/>
          </w:pgBorders>
          <w:pgNumType w:fmt="decimal"/>
          <w:cols w:space="720" w:num="1"/>
          <w:rtlGutter w:val="0"/>
          <w:docGrid w:linePitch="435" w:charSpace="0"/>
        </w:sectPr>
      </w:pPr>
    </w:p>
    <w:p>
      <w:pPr>
        <w:bidi w:val="0"/>
        <w:spacing w:line="240" w:lineRule="auto"/>
        <w:ind w:left="0" w:leftChars="0" w:firstLine="0" w:firstLineChars="0"/>
        <w:rPr>
          <w:rFonts w:hint="default"/>
          <w:lang w:val="en-US" w:eastAsia="zh-CN"/>
        </w:rPr>
      </w:pPr>
      <w:r>
        <w:rPr>
          <w:rFonts w:hint="default"/>
          <w:lang w:val="en-US" w:eastAsia="zh-CN"/>
        </w:rPr>
        <w:drawing>
          <wp:inline distT="0" distB="0" distL="114300" distR="114300">
            <wp:extent cx="5267960" cy="3721735"/>
            <wp:effectExtent l="9525" t="9525" r="18415" b="21590"/>
            <wp:docPr id="5" name="图片 5" descr="130121205辛庄乡02国土空间总体规划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30121205辛庄乡02国土空间总体规划格局规划图"/>
                    <pic:cNvPicPr>
                      <a:picLocks noChangeAspect="1"/>
                    </pic:cNvPicPr>
                  </pic:nvPicPr>
                  <pic:blipFill>
                    <a:blip r:embed="rId6"/>
                    <a:stretch>
                      <a:fillRect/>
                    </a:stretch>
                  </pic:blipFill>
                  <pic:spPr>
                    <a:xfrm>
                      <a:off x="0" y="0"/>
                      <a:ext cx="5267960" cy="3721735"/>
                    </a:xfrm>
                    <a:prstGeom prst="rect">
                      <a:avLst/>
                    </a:prstGeom>
                    <a:ln>
                      <a:solidFill>
                        <a:schemeClr val="bg1">
                          <a:lumMod val="85000"/>
                        </a:schemeClr>
                      </a:solidFill>
                    </a:ln>
                  </pic:spPr>
                </pic:pic>
              </a:graphicData>
            </a:graphic>
          </wp:inline>
        </w:drawing>
      </w:r>
      <w:r>
        <w:rPr>
          <w:rFonts w:hint="default"/>
          <w:lang w:val="en-US" w:eastAsia="zh-CN"/>
        </w:rPr>
        <w:drawing>
          <wp:inline distT="0" distB="0" distL="114300" distR="114300">
            <wp:extent cx="5267960" cy="3721735"/>
            <wp:effectExtent l="9525" t="9525" r="18415" b="21590"/>
            <wp:docPr id="4" name="图片 4" descr="130121205辛庄乡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30121205辛庄乡03国土空间控制线规划图"/>
                    <pic:cNvPicPr>
                      <a:picLocks noChangeAspect="1"/>
                    </pic:cNvPicPr>
                  </pic:nvPicPr>
                  <pic:blipFill>
                    <a:blip r:embed="rId7"/>
                    <a:stretch>
                      <a:fillRect/>
                    </a:stretch>
                  </pic:blipFill>
                  <pic:spPr>
                    <a:xfrm>
                      <a:off x="0" y="0"/>
                      <a:ext cx="5267960" cy="3721735"/>
                    </a:xfrm>
                    <a:prstGeom prst="rect">
                      <a:avLst/>
                    </a:prstGeom>
                    <a:ln>
                      <a:solidFill>
                        <a:schemeClr val="bg1">
                          <a:lumMod val="85000"/>
                        </a:schemeClr>
                      </a:solidFill>
                    </a:ln>
                  </pic:spPr>
                </pic:pic>
              </a:graphicData>
            </a:graphic>
          </wp:inline>
        </w:drawing>
      </w:r>
    </w:p>
    <w:p>
      <w:pPr>
        <w:bidi w:val="0"/>
        <w:spacing w:line="240" w:lineRule="auto"/>
        <w:ind w:left="0" w:leftChars="0" w:firstLine="0" w:firstLineChars="0"/>
        <w:rPr>
          <w:rFonts w:hint="default"/>
          <w:lang w:val="en-US" w:eastAsia="zh-CN"/>
        </w:rPr>
      </w:pPr>
    </w:p>
    <w:p>
      <w:pPr>
        <w:bidi w:val="0"/>
        <w:spacing w:line="240" w:lineRule="auto"/>
        <w:ind w:left="0" w:leftChars="0" w:firstLine="0" w:firstLineChars="0"/>
        <w:rPr>
          <w:rFonts w:hint="default"/>
          <w:lang w:val="en-US" w:eastAsia="zh-CN"/>
        </w:rPr>
      </w:pPr>
      <w:r>
        <w:rPr>
          <w:rFonts w:hint="default"/>
          <w:lang w:val="en-US" w:eastAsia="zh-CN"/>
        </w:rPr>
        <w:drawing>
          <wp:inline distT="0" distB="0" distL="114300" distR="114300">
            <wp:extent cx="5267960" cy="3721735"/>
            <wp:effectExtent l="9525" t="9525" r="18415" b="21590"/>
            <wp:docPr id="6" name="图片 6" descr="130121205辛庄乡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30121205辛庄乡10村庄布点规划图"/>
                    <pic:cNvPicPr>
                      <a:picLocks noChangeAspect="1"/>
                    </pic:cNvPicPr>
                  </pic:nvPicPr>
                  <pic:blipFill>
                    <a:blip r:embed="rId8"/>
                    <a:stretch>
                      <a:fillRect/>
                    </a:stretch>
                  </pic:blipFill>
                  <pic:spPr>
                    <a:xfrm>
                      <a:off x="0" y="0"/>
                      <a:ext cx="5267960" cy="3721735"/>
                    </a:xfrm>
                    <a:prstGeom prst="rect">
                      <a:avLst/>
                    </a:prstGeom>
                    <a:ln>
                      <a:solidFill>
                        <a:schemeClr val="bg1">
                          <a:lumMod val="85000"/>
                        </a:schemeClr>
                      </a:solidFill>
                    </a:ln>
                  </pic:spPr>
                </pic:pic>
              </a:graphicData>
            </a:graphic>
          </wp:inline>
        </w:drawing>
      </w:r>
      <w:r>
        <w:rPr>
          <w:rFonts w:hint="default"/>
          <w:lang w:val="en-US" w:eastAsia="zh-CN"/>
        </w:rPr>
        <w:drawing>
          <wp:inline distT="0" distB="0" distL="114300" distR="114300">
            <wp:extent cx="5267960" cy="3721735"/>
            <wp:effectExtent l="9525" t="9525" r="18415" b="21590"/>
            <wp:docPr id="7" name="图片 7" descr="130121205辛庄乡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30121205辛庄乡15国土空间规划分区图"/>
                    <pic:cNvPicPr>
                      <a:picLocks noChangeAspect="1"/>
                    </pic:cNvPicPr>
                  </pic:nvPicPr>
                  <pic:blipFill>
                    <a:blip r:embed="rId9"/>
                    <a:stretch>
                      <a:fillRect/>
                    </a:stretch>
                  </pic:blipFill>
                  <pic:spPr>
                    <a:xfrm>
                      <a:off x="0" y="0"/>
                      <a:ext cx="5267960" cy="3721735"/>
                    </a:xfrm>
                    <a:prstGeom prst="rect">
                      <a:avLst/>
                    </a:prstGeom>
                    <a:ln>
                      <a:solidFill>
                        <a:schemeClr val="bg1">
                          <a:lumMod val="85000"/>
                        </a:schemeClr>
                      </a:solidFill>
                    </a:ln>
                  </pic:spPr>
                </pic:pic>
              </a:graphicData>
            </a:graphic>
          </wp:inline>
        </w:drawing>
      </w:r>
    </w:p>
    <w:sectPr>
      <w:pgSz w:w="11906" w:h="16838"/>
      <w:pgMar w:top="1440" w:right="1803" w:bottom="1440" w:left="1803" w:header="851" w:footer="992" w:gutter="0"/>
      <w:pgBorders>
        <w:top w:val="none" w:color="auto" w:sz="0" w:space="0"/>
        <w:left w:val="none" w:color="auto" w:sz="0" w:space="0"/>
        <w:bottom w:val="none" w:color="auto" w:sz="0" w:space="0"/>
        <w:right w:val="none" w:color="auto" w:sz="0" w:space="0"/>
      </w:pgBorders>
      <w:pgNumType w:fmt="decimal"/>
      <w:cols w:space="720" w:num="1"/>
      <w:rtlGutter w:val="0"/>
      <w:docGrid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等线 Light">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8C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华文楷体">
    <w:panose1 w:val="02010600040101010101"/>
    <w:charset w:val="86"/>
    <w:family w:val="auto"/>
    <w:pitch w:val="default"/>
    <w:sig w:usb0="00000287" w:usb1="080F0000" w:usb2="00000000" w:usb3="00000000" w:csb0="0004009F" w:csb1="DFD70000"/>
  </w:font>
  <w:font w:name="方正舒体">
    <w:panose1 w:val="02010601030101010101"/>
    <w:charset w:val="86"/>
    <w:family w:val="auto"/>
    <w:pitch w:val="default"/>
    <w:sig w:usb0="00000003"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Calibri">
    <w:panose1 w:val="020F0502020204030204"/>
    <w:charset w:val="86"/>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vert="horz" wrap="none" lIns="0" tIns="0" rIns="0" bIns="0" anchor="t" upright="0">
                      <a:spAutoFit/>
                    </wps:bodyPr>
                  </wps:wsp>
                </a:graphicData>
              </a:graphic>
            </wp:anchor>
          </w:drawing>
        </mc:Choice>
        <mc:Fallback>
          <w:pict>
            <v:shape id="文本框 1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zql5uc8AAAAFAQAADwAAAAAAAAABACAAAAAiAAAAZHJzL2Rvd25yZXYueG1sUEsB&#10;AhQAFAAAAAgAh07iQKy+mB3FAQAAbAMAAA4AAAAAAAAAAQAgAAAAHgEAAGRycy9lMm9Eb2MueG1s&#10;UEsFBgAAAAAGAAYAWQEAAFUFAAAAAA==&#10;">
              <v:fill on="f" focussize="0,0"/>
              <v:stroke on="f"/>
              <v:imagedata o:title=""/>
              <o:lock v:ext="edit" aspectratio="f"/>
              <v:textbox inset="0mm,0mm,0mm,0mm" style="mso-fit-shape-to-text:t;">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611F67E"/>
    <w:multiLevelType w:val="multilevel"/>
    <w:tmpl w:val="A611F67E"/>
    <w:lvl w:ilvl="0" w:tentative="0">
      <w:start w:val="1"/>
      <w:numFmt w:val="chineseCounting"/>
      <w:pStyle w:val="2"/>
      <w:suff w:val="space"/>
      <w:lvlText w:val="第%1章 "/>
      <w:lvlJc w:val="left"/>
      <w:pPr>
        <w:tabs>
          <w:tab w:val="left" w:pos="0"/>
        </w:tabs>
        <w:ind w:left="0" w:firstLine="402"/>
      </w:pPr>
      <w:rPr>
        <w:rFonts w:hint="eastAsia" w:ascii="方正小标宋_GBK" w:hAnsi="方正小标宋_GBK" w:eastAsia="方正小标宋_GBK"/>
        <w:sz w:val="36"/>
        <w:szCs w:val="36"/>
      </w:rPr>
    </w:lvl>
    <w:lvl w:ilvl="1" w:tentative="0">
      <w:start w:val="1"/>
      <w:numFmt w:val="chineseCounting"/>
      <w:pStyle w:val="3"/>
      <w:suff w:val="nothing"/>
      <w:lvlText w:val="第%2节  "/>
      <w:lvlJc w:val="left"/>
      <w:pPr>
        <w:tabs>
          <w:tab w:val="left" w:pos="0"/>
        </w:tabs>
        <w:ind w:left="0" w:firstLine="402"/>
      </w:pPr>
      <w:rPr>
        <w:rFonts w:hint="eastAsia" w:ascii="黑体" w:hAnsi="黑体" w:eastAsia="黑体"/>
        <w:sz w:val="32"/>
        <w:szCs w:val="30"/>
      </w:rPr>
    </w:lvl>
    <w:lvl w:ilvl="2" w:tentative="0">
      <w:start w:val="1"/>
      <w:numFmt w:val="decimal"/>
      <w:lvlRestart w:val="0"/>
      <w:pStyle w:val="4"/>
      <w:suff w:val="nothing"/>
      <w:lvlText w:val="第%3条  "/>
      <w:lvlJc w:val="left"/>
      <w:pPr>
        <w:tabs>
          <w:tab w:val="left" w:pos="0"/>
        </w:tabs>
        <w:ind w:left="0" w:firstLine="402"/>
      </w:pPr>
      <w:rPr>
        <w:rFonts w:hint="eastAsia" w:ascii="楷体_GB2312" w:hAnsi="楷体_GB2312" w:eastAsia="楷体_GB2312"/>
        <w:sz w:val="32"/>
        <w:szCs w:val="32"/>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111F3A2B"/>
    <w:multiLevelType w:val="singleLevel"/>
    <w:tmpl w:val="111F3A2B"/>
    <w:lvl w:ilvl="0" w:tentative="0">
      <w:start w:val="1"/>
      <w:numFmt w:val="chineseCounting"/>
      <w:pStyle w:val="42"/>
      <w:suff w:val="nothing"/>
      <w:lvlText w:val="%1、"/>
      <w:lvlJc w:val="left"/>
      <w:pPr>
        <w:ind w:left="0" w:firstLine="397"/>
      </w:pPr>
      <w:rPr>
        <w:rFonts w:hint="eastAsia"/>
      </w:rPr>
    </w:lvl>
  </w:abstractNum>
  <w:abstractNum w:abstractNumId="2">
    <w:nsid w:val="1DD67C98"/>
    <w:multiLevelType w:val="singleLevel"/>
    <w:tmpl w:val="1DD67C98"/>
    <w:lvl w:ilvl="0" w:tentative="0">
      <w:start w:val="1"/>
      <w:numFmt w:val="chineseCounting"/>
      <w:pStyle w:val="24"/>
      <w:suff w:val="nothing"/>
      <w:lvlText w:val="（%1）"/>
      <w:lvlJc w:val="left"/>
      <w:pPr>
        <w:ind w:left="0" w:firstLine="420"/>
      </w:pPr>
      <w:rPr>
        <w:rFonts w:hint="eastAsia"/>
      </w:rPr>
    </w:lvl>
  </w:abstractNum>
  <w:abstractNum w:abstractNumId="3">
    <w:nsid w:val="699CD0B4"/>
    <w:multiLevelType w:val="singleLevel"/>
    <w:tmpl w:val="699CD0B4"/>
    <w:lvl w:ilvl="0" w:tentative="0">
      <w:start w:val="2"/>
      <w:numFmt w:val="chineseCounting"/>
      <w:suff w:val="nothing"/>
      <w:lvlText w:val="%1、"/>
      <w:lvlJc w:val="left"/>
    </w:lvl>
  </w:abstractNum>
  <w:abstractNum w:abstractNumId="4">
    <w:nsid w:val="699CD1BD"/>
    <w:multiLevelType w:val="singleLevel"/>
    <w:tmpl w:val="699CD1BD"/>
    <w:lvl w:ilvl="0" w:tentative="0">
      <w:start w:val="5"/>
      <w:numFmt w:val="chineseCounting"/>
      <w:suff w:val="nothing"/>
      <w:lvlText w:val="%1、"/>
      <w:lvlJc w:val="left"/>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Y2FmOTBhOWFjMTFlM2U1NzgxZDg4NWRiMDM4NTgifQ=="/>
  </w:docVars>
  <w:rsids>
    <w:rsidRoot w:val="00172A27"/>
    <w:rsid w:val="00027B37"/>
    <w:rsid w:val="00033C15"/>
    <w:rsid w:val="00076E7C"/>
    <w:rsid w:val="00163A3E"/>
    <w:rsid w:val="00166F22"/>
    <w:rsid w:val="001B314B"/>
    <w:rsid w:val="001D026F"/>
    <w:rsid w:val="00281D04"/>
    <w:rsid w:val="002A2116"/>
    <w:rsid w:val="00305DFF"/>
    <w:rsid w:val="00391B77"/>
    <w:rsid w:val="0044631A"/>
    <w:rsid w:val="00493062"/>
    <w:rsid w:val="00603EAF"/>
    <w:rsid w:val="00696B8C"/>
    <w:rsid w:val="006A2418"/>
    <w:rsid w:val="006D19D9"/>
    <w:rsid w:val="008B0DA7"/>
    <w:rsid w:val="00926DB5"/>
    <w:rsid w:val="009F5F23"/>
    <w:rsid w:val="00A02834"/>
    <w:rsid w:val="00A23CCD"/>
    <w:rsid w:val="00AB23A6"/>
    <w:rsid w:val="00AB2EA1"/>
    <w:rsid w:val="00AD7338"/>
    <w:rsid w:val="00CF79AD"/>
    <w:rsid w:val="00EC2E59"/>
    <w:rsid w:val="00F70D86"/>
    <w:rsid w:val="00FB36C8"/>
    <w:rsid w:val="01893741"/>
    <w:rsid w:val="01906009"/>
    <w:rsid w:val="02E30915"/>
    <w:rsid w:val="02FE1295"/>
    <w:rsid w:val="030B2A3C"/>
    <w:rsid w:val="033D7C5A"/>
    <w:rsid w:val="03472716"/>
    <w:rsid w:val="03A553E2"/>
    <w:rsid w:val="03A663A1"/>
    <w:rsid w:val="03C2272B"/>
    <w:rsid w:val="04EE06F2"/>
    <w:rsid w:val="05483AD3"/>
    <w:rsid w:val="05F9301F"/>
    <w:rsid w:val="06296393"/>
    <w:rsid w:val="06622346"/>
    <w:rsid w:val="06703003"/>
    <w:rsid w:val="067D3018"/>
    <w:rsid w:val="06B238FA"/>
    <w:rsid w:val="07640CB1"/>
    <w:rsid w:val="080C0DE8"/>
    <w:rsid w:val="08253634"/>
    <w:rsid w:val="08331074"/>
    <w:rsid w:val="088B78D9"/>
    <w:rsid w:val="0891182B"/>
    <w:rsid w:val="08D471E8"/>
    <w:rsid w:val="09523172"/>
    <w:rsid w:val="0982397F"/>
    <w:rsid w:val="09EA5F80"/>
    <w:rsid w:val="0BAC40FA"/>
    <w:rsid w:val="0BB5225A"/>
    <w:rsid w:val="0BEB6F66"/>
    <w:rsid w:val="0C336A37"/>
    <w:rsid w:val="0C3C376D"/>
    <w:rsid w:val="0D476E7E"/>
    <w:rsid w:val="0ED604C7"/>
    <w:rsid w:val="0EF645A0"/>
    <w:rsid w:val="0F435B80"/>
    <w:rsid w:val="0F5251FA"/>
    <w:rsid w:val="0F9E2056"/>
    <w:rsid w:val="0FD16611"/>
    <w:rsid w:val="10484987"/>
    <w:rsid w:val="111D5E14"/>
    <w:rsid w:val="1153135B"/>
    <w:rsid w:val="11D45E31"/>
    <w:rsid w:val="137D49D8"/>
    <w:rsid w:val="138959E3"/>
    <w:rsid w:val="13D8488F"/>
    <w:rsid w:val="156830A7"/>
    <w:rsid w:val="156E30FA"/>
    <w:rsid w:val="15C57FEA"/>
    <w:rsid w:val="167F5E46"/>
    <w:rsid w:val="184967EF"/>
    <w:rsid w:val="18C80C30"/>
    <w:rsid w:val="190D7465"/>
    <w:rsid w:val="19595168"/>
    <w:rsid w:val="19B47F4F"/>
    <w:rsid w:val="19CF6FB9"/>
    <w:rsid w:val="19E56821"/>
    <w:rsid w:val="1A495E05"/>
    <w:rsid w:val="1A6745A4"/>
    <w:rsid w:val="1A85028A"/>
    <w:rsid w:val="1A975879"/>
    <w:rsid w:val="1B1961E0"/>
    <w:rsid w:val="1B1B2104"/>
    <w:rsid w:val="1B434989"/>
    <w:rsid w:val="1B96328E"/>
    <w:rsid w:val="1C085191"/>
    <w:rsid w:val="1C1601D9"/>
    <w:rsid w:val="1C4E5038"/>
    <w:rsid w:val="1C522735"/>
    <w:rsid w:val="1C784846"/>
    <w:rsid w:val="1E047C54"/>
    <w:rsid w:val="1E5C0C96"/>
    <w:rsid w:val="1EA16F6B"/>
    <w:rsid w:val="1EAA2CB1"/>
    <w:rsid w:val="1ED379D1"/>
    <w:rsid w:val="1F973235"/>
    <w:rsid w:val="1FDB7689"/>
    <w:rsid w:val="20443008"/>
    <w:rsid w:val="20F807BC"/>
    <w:rsid w:val="21DB1A71"/>
    <w:rsid w:val="224C7974"/>
    <w:rsid w:val="22B52CA4"/>
    <w:rsid w:val="243C2F1E"/>
    <w:rsid w:val="24997A50"/>
    <w:rsid w:val="250221F5"/>
    <w:rsid w:val="259B7B85"/>
    <w:rsid w:val="25FF63CA"/>
    <w:rsid w:val="26151358"/>
    <w:rsid w:val="26290FC4"/>
    <w:rsid w:val="263132A0"/>
    <w:rsid w:val="26443F74"/>
    <w:rsid w:val="2660756F"/>
    <w:rsid w:val="266A3452"/>
    <w:rsid w:val="26B85A22"/>
    <w:rsid w:val="26BE19EF"/>
    <w:rsid w:val="27EC7E96"/>
    <w:rsid w:val="27ED6D58"/>
    <w:rsid w:val="28F942BB"/>
    <w:rsid w:val="29B4595A"/>
    <w:rsid w:val="2A374C26"/>
    <w:rsid w:val="2B732D2C"/>
    <w:rsid w:val="2BB855A9"/>
    <w:rsid w:val="2C8344BA"/>
    <w:rsid w:val="2D014005"/>
    <w:rsid w:val="2D025AB3"/>
    <w:rsid w:val="2D0770E3"/>
    <w:rsid w:val="2DC86CB0"/>
    <w:rsid w:val="2F8121F9"/>
    <w:rsid w:val="30062A53"/>
    <w:rsid w:val="30144B40"/>
    <w:rsid w:val="305D1EAE"/>
    <w:rsid w:val="306C426A"/>
    <w:rsid w:val="30861CF0"/>
    <w:rsid w:val="30B41D9A"/>
    <w:rsid w:val="30C87545"/>
    <w:rsid w:val="30E83BA7"/>
    <w:rsid w:val="31554CFE"/>
    <w:rsid w:val="31AC675D"/>
    <w:rsid w:val="322D6958"/>
    <w:rsid w:val="32B7030D"/>
    <w:rsid w:val="32C12C2B"/>
    <w:rsid w:val="32D876C7"/>
    <w:rsid w:val="32E30540"/>
    <w:rsid w:val="33586DCE"/>
    <w:rsid w:val="33B679B3"/>
    <w:rsid w:val="33EB36F8"/>
    <w:rsid w:val="34161EC7"/>
    <w:rsid w:val="34FE057D"/>
    <w:rsid w:val="354F4CF5"/>
    <w:rsid w:val="35C06E1B"/>
    <w:rsid w:val="35E8636C"/>
    <w:rsid w:val="36034D29"/>
    <w:rsid w:val="36610C19"/>
    <w:rsid w:val="367F39EB"/>
    <w:rsid w:val="369814D3"/>
    <w:rsid w:val="36C65519"/>
    <w:rsid w:val="3745765C"/>
    <w:rsid w:val="37AE2972"/>
    <w:rsid w:val="38295B4A"/>
    <w:rsid w:val="38305AD3"/>
    <w:rsid w:val="383F79D7"/>
    <w:rsid w:val="384E5875"/>
    <w:rsid w:val="38A071A7"/>
    <w:rsid w:val="38C369F1"/>
    <w:rsid w:val="397936D5"/>
    <w:rsid w:val="39A52477"/>
    <w:rsid w:val="3A270E39"/>
    <w:rsid w:val="3AE5195A"/>
    <w:rsid w:val="3C000A12"/>
    <w:rsid w:val="3C0A47A5"/>
    <w:rsid w:val="3C750E95"/>
    <w:rsid w:val="3E19718E"/>
    <w:rsid w:val="3EB30FC3"/>
    <w:rsid w:val="3F4B70E6"/>
    <w:rsid w:val="3FD503C0"/>
    <w:rsid w:val="3FFC3940"/>
    <w:rsid w:val="40452CCE"/>
    <w:rsid w:val="40516E8D"/>
    <w:rsid w:val="408772D8"/>
    <w:rsid w:val="40890521"/>
    <w:rsid w:val="41EF5A1D"/>
    <w:rsid w:val="41F358C9"/>
    <w:rsid w:val="42F83BFA"/>
    <w:rsid w:val="430C7FAB"/>
    <w:rsid w:val="44165D14"/>
    <w:rsid w:val="443524DE"/>
    <w:rsid w:val="44444ED0"/>
    <w:rsid w:val="44FA0CD3"/>
    <w:rsid w:val="457E2E09"/>
    <w:rsid w:val="457E4886"/>
    <w:rsid w:val="46031D8D"/>
    <w:rsid w:val="46595971"/>
    <w:rsid w:val="46C922BA"/>
    <w:rsid w:val="476046D5"/>
    <w:rsid w:val="477535FD"/>
    <w:rsid w:val="477B1935"/>
    <w:rsid w:val="47B806CA"/>
    <w:rsid w:val="47FA6E80"/>
    <w:rsid w:val="47FD3C57"/>
    <w:rsid w:val="48667B2A"/>
    <w:rsid w:val="48D66617"/>
    <w:rsid w:val="49076E7A"/>
    <w:rsid w:val="49216CB9"/>
    <w:rsid w:val="498F1F57"/>
    <w:rsid w:val="4ADB2B59"/>
    <w:rsid w:val="4AE371DE"/>
    <w:rsid w:val="4B4839BB"/>
    <w:rsid w:val="4BBA4E56"/>
    <w:rsid w:val="4BE26227"/>
    <w:rsid w:val="4C152D4D"/>
    <w:rsid w:val="4C3043D3"/>
    <w:rsid w:val="4C476DD8"/>
    <w:rsid w:val="4D165F6B"/>
    <w:rsid w:val="4D796F0D"/>
    <w:rsid w:val="4DF072AA"/>
    <w:rsid w:val="4DF463DC"/>
    <w:rsid w:val="4E29218D"/>
    <w:rsid w:val="4E516B22"/>
    <w:rsid w:val="4E7140F2"/>
    <w:rsid w:val="4EC03A6C"/>
    <w:rsid w:val="4EC70E70"/>
    <w:rsid w:val="4F257D84"/>
    <w:rsid w:val="4F4D7908"/>
    <w:rsid w:val="4FFC1018"/>
    <w:rsid w:val="504B4A2A"/>
    <w:rsid w:val="506847E0"/>
    <w:rsid w:val="50F65A50"/>
    <w:rsid w:val="51243D4F"/>
    <w:rsid w:val="51424955"/>
    <w:rsid w:val="51662901"/>
    <w:rsid w:val="516721B8"/>
    <w:rsid w:val="520624AD"/>
    <w:rsid w:val="529E2CA5"/>
    <w:rsid w:val="52F8477C"/>
    <w:rsid w:val="53A72DF2"/>
    <w:rsid w:val="53C91C9E"/>
    <w:rsid w:val="543526A3"/>
    <w:rsid w:val="548E19B7"/>
    <w:rsid w:val="55833605"/>
    <w:rsid w:val="55B26DA9"/>
    <w:rsid w:val="562C39D0"/>
    <w:rsid w:val="56CC232E"/>
    <w:rsid w:val="56E14FD6"/>
    <w:rsid w:val="57002DC1"/>
    <w:rsid w:val="570A1F63"/>
    <w:rsid w:val="5736713E"/>
    <w:rsid w:val="58581D82"/>
    <w:rsid w:val="58CB5722"/>
    <w:rsid w:val="58FA39E0"/>
    <w:rsid w:val="59127A0C"/>
    <w:rsid w:val="59C50504"/>
    <w:rsid w:val="59FE5625"/>
    <w:rsid w:val="5A731BCE"/>
    <w:rsid w:val="5A8B4B30"/>
    <w:rsid w:val="5B735224"/>
    <w:rsid w:val="5B8C5E71"/>
    <w:rsid w:val="5B9E7DF2"/>
    <w:rsid w:val="5C002599"/>
    <w:rsid w:val="5C224533"/>
    <w:rsid w:val="5C96155D"/>
    <w:rsid w:val="5E07142D"/>
    <w:rsid w:val="5E0C263D"/>
    <w:rsid w:val="5EB96AAA"/>
    <w:rsid w:val="6059598F"/>
    <w:rsid w:val="60E05B3D"/>
    <w:rsid w:val="610D0751"/>
    <w:rsid w:val="61E36ABF"/>
    <w:rsid w:val="62175534"/>
    <w:rsid w:val="62864E91"/>
    <w:rsid w:val="62BE2499"/>
    <w:rsid w:val="62D66050"/>
    <w:rsid w:val="62E12F32"/>
    <w:rsid w:val="62E677EE"/>
    <w:rsid w:val="63CF6F29"/>
    <w:rsid w:val="63F06720"/>
    <w:rsid w:val="63FF44D2"/>
    <w:rsid w:val="64F67406"/>
    <w:rsid w:val="650F1B4B"/>
    <w:rsid w:val="65A73628"/>
    <w:rsid w:val="65C26ABF"/>
    <w:rsid w:val="65C46CD4"/>
    <w:rsid w:val="65F9606F"/>
    <w:rsid w:val="661206D7"/>
    <w:rsid w:val="677A2CE6"/>
    <w:rsid w:val="678C73B0"/>
    <w:rsid w:val="67F60978"/>
    <w:rsid w:val="68132EF5"/>
    <w:rsid w:val="68FD194E"/>
    <w:rsid w:val="696D1ED5"/>
    <w:rsid w:val="69F77D63"/>
    <w:rsid w:val="6A0F0D12"/>
    <w:rsid w:val="6A792DB3"/>
    <w:rsid w:val="6AA716B4"/>
    <w:rsid w:val="6B5F111A"/>
    <w:rsid w:val="6B995FD5"/>
    <w:rsid w:val="6BBE449F"/>
    <w:rsid w:val="6BDE4A1C"/>
    <w:rsid w:val="6BE8232A"/>
    <w:rsid w:val="6BEC7C01"/>
    <w:rsid w:val="6CAF35A7"/>
    <w:rsid w:val="6D041684"/>
    <w:rsid w:val="6D7B09F7"/>
    <w:rsid w:val="6DD53539"/>
    <w:rsid w:val="6E022E04"/>
    <w:rsid w:val="6EA94E9E"/>
    <w:rsid w:val="6F052E67"/>
    <w:rsid w:val="6F285225"/>
    <w:rsid w:val="7066557E"/>
    <w:rsid w:val="7113780F"/>
    <w:rsid w:val="711D0DD2"/>
    <w:rsid w:val="713D340A"/>
    <w:rsid w:val="714B51FB"/>
    <w:rsid w:val="71BB16AE"/>
    <w:rsid w:val="72387A5C"/>
    <w:rsid w:val="725676CF"/>
    <w:rsid w:val="72871C1F"/>
    <w:rsid w:val="729070B1"/>
    <w:rsid w:val="730304E2"/>
    <w:rsid w:val="73A57D53"/>
    <w:rsid w:val="73C043EA"/>
    <w:rsid w:val="74100E8F"/>
    <w:rsid w:val="77021206"/>
    <w:rsid w:val="77DA60C5"/>
    <w:rsid w:val="7882046A"/>
    <w:rsid w:val="789C0100"/>
    <w:rsid w:val="78B47B29"/>
    <w:rsid w:val="78D05F70"/>
    <w:rsid w:val="78D829CA"/>
    <w:rsid w:val="78E62FA1"/>
    <w:rsid w:val="78F46777"/>
    <w:rsid w:val="79542A7F"/>
    <w:rsid w:val="79BB32C1"/>
    <w:rsid w:val="79CC1A0A"/>
    <w:rsid w:val="7AFE7DA7"/>
    <w:rsid w:val="7B05200B"/>
    <w:rsid w:val="7B297592"/>
    <w:rsid w:val="7B387B3F"/>
    <w:rsid w:val="7BE13332"/>
    <w:rsid w:val="7C37624A"/>
    <w:rsid w:val="7C7D7E47"/>
    <w:rsid w:val="7C940E6A"/>
    <w:rsid w:val="7D68684B"/>
    <w:rsid w:val="7DA51CD9"/>
    <w:rsid w:val="7E03059A"/>
    <w:rsid w:val="7E1917FE"/>
    <w:rsid w:val="7E370C5F"/>
    <w:rsid w:val="7ECD5869"/>
    <w:rsid w:val="7ECE70B3"/>
    <w:rsid w:val="7EED1559"/>
    <w:rsid w:val="7F58764C"/>
    <w:rsid w:val="7F684630"/>
    <w:rsid w:val="7FC555FB"/>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adjustRightInd w:val="0"/>
      <w:snapToGrid w:val="0"/>
      <w:spacing w:line="560" w:lineRule="exact"/>
      <w:ind w:firstLine="200" w:firstLineChars="200"/>
      <w:jc w:val="both"/>
    </w:pPr>
    <w:rPr>
      <w:rFonts w:ascii="仿宋_GB2312" w:hAnsi="仿宋_GB2312" w:eastAsia="仿宋_GB2312" w:cs="仿宋_GB2312"/>
      <w:kern w:val="2"/>
      <w:sz w:val="32"/>
      <w:szCs w:val="22"/>
      <w:lang w:val="en-US" w:eastAsia="zh-CN" w:bidi="ar-SA"/>
    </w:rPr>
  </w:style>
  <w:style w:type="paragraph" w:styleId="2">
    <w:name w:val="heading 1"/>
    <w:basedOn w:val="1"/>
    <w:next w:val="1"/>
    <w:link w:val="63"/>
    <w:qFormat/>
    <w:uiPriority w:val="9"/>
    <w:pPr>
      <w:pageBreakBefore/>
      <w:numPr>
        <w:ilvl w:val="0"/>
        <w:numId w:val="1"/>
      </w:numPr>
      <w:snapToGrid w:val="0"/>
      <w:spacing w:before="350" w:beforeLines="350" w:after="150" w:afterLines="150" w:line="240" w:lineRule="auto"/>
      <w:ind w:firstLine="402" w:firstLineChars="0"/>
      <w:jc w:val="center"/>
      <w:outlineLvl w:val="0"/>
    </w:pPr>
    <w:rPr>
      <w:rFonts w:eastAsia="方正小标宋_GBK"/>
      <w:sz w:val="36"/>
      <w:szCs w:val="44"/>
    </w:rPr>
  </w:style>
  <w:style w:type="paragraph" w:styleId="3">
    <w:name w:val="heading 2"/>
    <w:basedOn w:val="1"/>
    <w:next w:val="1"/>
    <w:link w:val="53"/>
    <w:unhideWhenUsed/>
    <w:qFormat/>
    <w:uiPriority w:val="9"/>
    <w:pPr>
      <w:keepNext w:val="0"/>
      <w:numPr>
        <w:ilvl w:val="1"/>
        <w:numId w:val="1"/>
      </w:numPr>
      <w:adjustRightInd w:val="0"/>
      <w:snapToGrid w:val="0"/>
      <w:spacing w:before="100" w:beforeLines="100" w:after="100" w:afterLines="100"/>
      <w:ind w:firstLine="402" w:firstLineChars="0"/>
      <w:jc w:val="center"/>
      <w:outlineLvl w:val="1"/>
    </w:pPr>
    <w:rPr>
      <w:rFonts w:ascii="Times New Roman" w:hAnsi="Times New Roman" w:eastAsia="黑体"/>
    </w:rPr>
  </w:style>
  <w:style w:type="paragraph" w:styleId="4">
    <w:name w:val="heading 3"/>
    <w:basedOn w:val="1"/>
    <w:next w:val="1"/>
    <w:link w:val="65"/>
    <w:unhideWhenUsed/>
    <w:qFormat/>
    <w:uiPriority w:val="9"/>
    <w:pPr>
      <w:numPr>
        <w:ilvl w:val="2"/>
        <w:numId w:val="1"/>
      </w:numPr>
      <w:tabs>
        <w:tab w:val="left" w:pos="840"/>
        <w:tab w:val="clear" w:pos="0"/>
      </w:tabs>
      <w:adjustRightInd w:val="0"/>
      <w:snapToGrid w:val="0"/>
      <w:spacing w:before="50" w:beforeLines="50" w:after="50" w:afterLines="50"/>
      <w:ind w:firstLine="1040" w:firstLineChars="200"/>
      <w:outlineLvl w:val="2"/>
    </w:pPr>
    <w:rPr>
      <w:rFonts w:ascii="楷体_GB2312" w:hAnsi="楷体_GB2312" w:eastAsia="楷体_GB2312"/>
      <w:bCs/>
      <w:szCs w:val="32"/>
    </w:rPr>
  </w:style>
  <w:style w:type="paragraph" w:styleId="5">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unhideWhenUsed/>
    <w:qFormat/>
    <w:uiPriority w:val="1"/>
  </w:style>
  <w:style w:type="table" w:default="1" w:styleId="21">
    <w:name w:val="Normal Table"/>
    <w:unhideWhenUsed/>
    <w:qFormat/>
    <w:uiPriority w:val="99"/>
    <w:tblPr>
      <w:tblLayout w:type="fixed"/>
      <w:tblCellMar>
        <w:top w:w="0" w:type="dxa"/>
        <w:left w:w="108" w:type="dxa"/>
        <w:bottom w:w="0" w:type="dxa"/>
        <w:right w:w="108" w:type="dxa"/>
      </w:tblCellMar>
    </w:tblPr>
    <w:tcPr>
      <w:textDirection w:val="lrTb"/>
    </w:tcPr>
  </w:style>
  <w:style w:type="paragraph" w:styleId="6">
    <w:name w:val="toa heading"/>
    <w:basedOn w:val="1"/>
    <w:next w:val="1"/>
    <w:unhideWhenUsed/>
    <w:qFormat/>
    <w:uiPriority w:val="99"/>
    <w:pPr>
      <w:snapToGrid/>
      <w:spacing w:before="0" w:beforeLines="0" w:line="240" w:lineRule="auto"/>
      <w:ind w:firstLine="0" w:firstLineChars="0"/>
      <w:jc w:val="both"/>
    </w:pPr>
    <w:rPr>
      <w:rFonts w:ascii="Arial" w:hAnsi="Arial" w:eastAsia="宋体" w:cs="Times New Roman"/>
      <w:sz w:val="24"/>
    </w:rPr>
  </w:style>
  <w:style w:type="paragraph" w:styleId="7">
    <w:name w:val="Body Text"/>
    <w:basedOn w:val="1"/>
    <w:qFormat/>
    <w:uiPriority w:val="0"/>
    <w:pPr>
      <w:spacing w:after="120"/>
    </w:pPr>
  </w:style>
  <w:style w:type="paragraph" w:styleId="8">
    <w:name w:val="Body Text Indent"/>
    <w:basedOn w:val="1"/>
    <w:unhideWhenUsed/>
    <w:qFormat/>
    <w:uiPriority w:val="99"/>
    <w:pPr>
      <w:widowControl w:val="0"/>
      <w:spacing w:beforeLines="50" w:after="120" w:afterLines="50" w:line="312" w:lineRule="auto"/>
      <w:ind w:left="420" w:leftChars="200" w:firstLine="200" w:firstLineChars="200"/>
      <w:jc w:val="both"/>
    </w:pPr>
    <w:rPr>
      <w:rFonts w:ascii="宋体" w:hAnsi="Calibri" w:eastAsia="宋体" w:cs="Times New Roman"/>
      <w:color w:val="252525"/>
      <w:kern w:val="2"/>
      <w:szCs w:val="22"/>
    </w:rPr>
  </w:style>
  <w:style w:type="paragraph" w:styleId="9">
    <w:name w:val="toc 3"/>
    <w:basedOn w:val="1"/>
    <w:next w:val="1"/>
    <w:unhideWhenUsed/>
    <w:qFormat/>
    <w:uiPriority w:val="39"/>
    <w:pPr>
      <w:ind w:left="840" w:leftChars="400"/>
    </w:pPr>
  </w:style>
  <w:style w:type="paragraph" w:styleId="10">
    <w:name w:val="Date"/>
    <w:basedOn w:val="1"/>
    <w:next w:val="1"/>
    <w:link w:val="54"/>
    <w:unhideWhenUsed/>
    <w:qFormat/>
    <w:uiPriority w:val="99"/>
    <w:pPr>
      <w:ind w:left="100" w:leftChars="2500"/>
    </w:pPr>
  </w:style>
  <w:style w:type="paragraph" w:styleId="11">
    <w:name w:val="footer"/>
    <w:basedOn w:val="1"/>
    <w:unhideWhenUsed/>
    <w:qFormat/>
    <w:uiPriority w:val="99"/>
    <w:pPr>
      <w:tabs>
        <w:tab w:val="center" w:pos="4153"/>
        <w:tab w:val="right" w:pos="8306"/>
      </w:tabs>
      <w:snapToGrid w:val="0"/>
      <w:spacing w:line="240" w:lineRule="auto"/>
      <w:ind w:firstLine="0" w:firstLineChars="0"/>
      <w:jc w:val="left"/>
    </w:pPr>
    <w:rPr>
      <w:rFonts w:ascii="Times New Roman" w:hAnsi="Times New Roman"/>
      <w:sz w:val="18"/>
    </w:rPr>
  </w:style>
  <w:style w:type="paragraph" w:styleId="12">
    <w:name w:val="Body Text First Indent 2"/>
    <w:basedOn w:val="8"/>
    <w:unhideWhenUsed/>
    <w:qFormat/>
    <w:uiPriority w:val="99"/>
    <w:pPr>
      <w:ind w:firstLine="420"/>
    </w:pPr>
  </w:style>
  <w:style w:type="paragraph" w:styleId="13">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ind w:firstLine="0" w:firstLineChars="0"/>
      <w:jc w:val="right"/>
      <w:outlineLvl w:val="9"/>
    </w:pPr>
    <w:rPr>
      <w:rFonts w:hAnsi="仿宋_GB2312" w:eastAsia="黑体"/>
      <w:sz w:val="21"/>
    </w:rPr>
  </w:style>
  <w:style w:type="paragraph" w:styleId="14">
    <w:name w:val="toc 1"/>
    <w:basedOn w:val="1"/>
    <w:next w:val="1"/>
    <w:link w:val="64"/>
    <w:qFormat/>
    <w:uiPriority w:val="0"/>
    <w:pPr>
      <w:ind w:firstLine="0" w:firstLineChars="0"/>
    </w:pPr>
    <w:rPr>
      <w:rFonts w:hAnsi="仿宋_GB2312" w:eastAsia="黑体"/>
    </w:rPr>
  </w:style>
  <w:style w:type="paragraph" w:styleId="15">
    <w:name w:val="footnote text"/>
    <w:basedOn w:val="1"/>
    <w:qFormat/>
    <w:uiPriority w:val="0"/>
    <w:pPr>
      <w:snapToGrid w:val="0"/>
      <w:jc w:val="left"/>
    </w:pPr>
    <w:rPr>
      <w:sz w:val="18"/>
    </w:rPr>
  </w:style>
  <w:style w:type="paragraph" w:styleId="16">
    <w:name w:val="toc 2"/>
    <w:basedOn w:val="1"/>
    <w:next w:val="1"/>
    <w:qFormat/>
    <w:uiPriority w:val="0"/>
    <w:pPr>
      <w:ind w:left="0" w:leftChars="0"/>
    </w:pPr>
    <w:rPr>
      <w:rFonts w:eastAsia="楷体"/>
    </w:rPr>
  </w:style>
  <w:style w:type="paragraph" w:styleId="17">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9">
    <w:name w:val="Hyperlink"/>
    <w:unhideWhenUsed/>
    <w:qFormat/>
    <w:uiPriority w:val="99"/>
    <w:rPr>
      <w:color w:val="0563C1"/>
      <w:u w:val="single"/>
    </w:rPr>
  </w:style>
  <w:style w:type="character" w:styleId="20">
    <w:name w:val="footnote reference"/>
    <w:qFormat/>
    <w:uiPriority w:val="0"/>
    <w:rPr>
      <w:vertAlign w:val="superscript"/>
    </w:rPr>
  </w:style>
  <w:style w:type="table" w:styleId="22">
    <w:name w:val="Table Grid"/>
    <w:basedOn w:val="2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paragraph" w:customStyle="1" w:styleId="23">
    <w:name w:val="专栏正文"/>
    <w:basedOn w:val="1"/>
    <w:link w:val="61"/>
    <w:qFormat/>
    <w:uiPriority w:val="0"/>
    <w:pPr>
      <w:spacing w:line="500" w:lineRule="exact"/>
    </w:pPr>
    <w:rPr>
      <w:sz w:val="24"/>
    </w:rPr>
  </w:style>
  <w:style w:type="paragraph" w:customStyle="1" w:styleId="24">
    <w:name w:val="附则二级标题"/>
    <w:basedOn w:val="1"/>
    <w:qFormat/>
    <w:uiPriority w:val="0"/>
    <w:pPr>
      <w:numPr>
        <w:ilvl w:val="0"/>
        <w:numId w:val="2"/>
      </w:numPr>
    </w:pPr>
    <w:rPr>
      <w:rFonts w:hint="eastAsia" w:ascii="楷体_GB2312" w:hAnsi="楷体_GB2312" w:eastAsia="楷体_GB2312" w:cs="楷体_GB2312"/>
    </w:rPr>
  </w:style>
  <w:style w:type="paragraph" w:customStyle="1" w:styleId="25">
    <w:name w:val="附表备注"/>
    <w:basedOn w:val="1"/>
    <w:qFormat/>
    <w:uiPriority w:val="0"/>
    <w:pPr>
      <w:spacing w:line="240" w:lineRule="auto"/>
      <w:ind w:firstLine="0" w:firstLineChars="0"/>
    </w:pPr>
    <w:rPr>
      <w:rFonts w:eastAsia="楷体_GB2312"/>
      <w:sz w:val="21"/>
    </w:rPr>
  </w:style>
  <w:style w:type="paragraph" w:customStyle="1" w:styleId="26">
    <w:name w:val="附表标题"/>
    <w:basedOn w:val="1"/>
    <w:link w:val="56"/>
    <w:qFormat/>
    <w:uiPriority w:val="0"/>
    <w:pPr>
      <w:widowControl/>
      <w:ind w:firstLine="0" w:firstLineChars="0"/>
      <w:jc w:val="left"/>
      <w:outlineLvl w:val="0"/>
    </w:pPr>
    <w:rPr>
      <w:rFonts w:eastAsia="黑体"/>
      <w:szCs w:val="32"/>
    </w:rPr>
  </w:style>
  <w:style w:type="paragraph" w:customStyle="1" w:styleId="27">
    <w:name w:val="图表"/>
    <w:basedOn w:val="1"/>
    <w:next w:val="1"/>
    <w:qFormat/>
    <w:uiPriority w:val="0"/>
    <w:pPr>
      <w:widowControl/>
      <w:spacing w:before="156" w:beforeLines="50" w:line="240" w:lineRule="auto"/>
      <w:ind w:firstLine="0" w:firstLineChars="0"/>
      <w:jc w:val="center"/>
      <w:textAlignment w:val="center"/>
    </w:pPr>
    <w:rPr>
      <w:rFonts w:hint="eastAsia" w:eastAsia="仿宋_GB2312" w:cs="Times New Roman"/>
      <w:color w:val="000000"/>
      <w:kern w:val="0"/>
      <w:sz w:val="24"/>
      <w:szCs w:val="28"/>
    </w:rPr>
  </w:style>
  <w:style w:type="paragraph" w:customStyle="1" w:styleId="28">
    <w:name w:val="表格标题"/>
    <w:basedOn w:val="1"/>
    <w:qFormat/>
    <w:uiPriority w:val="0"/>
    <w:pPr>
      <w:keepNext w:val="0"/>
      <w:spacing w:before="100" w:beforeLines="100"/>
      <w:ind w:firstLine="0" w:firstLineChars="0"/>
      <w:jc w:val="center"/>
    </w:pPr>
    <w:rPr>
      <w:rFonts w:hint="eastAsia" w:ascii="黑体" w:hAnsi="黑体" w:eastAsia="黑体"/>
      <w:sz w:val="28"/>
    </w:rPr>
  </w:style>
  <w:style w:type="paragraph" w:customStyle="1" w:styleId="29">
    <w:name w:val="WPSOffice手动目录 2"/>
    <w:qFormat/>
    <w:uiPriority w:val="0"/>
    <w:pPr>
      <w:ind w:left="200" w:leftChars="200"/>
    </w:pPr>
    <w:rPr>
      <w:rFonts w:ascii="Times New Roman" w:hAnsi="Times New Roman" w:eastAsia="宋体" w:cs="Times New Roman"/>
      <w:sz w:val="21"/>
      <w:szCs w:val="22"/>
      <w:lang w:val="en-US" w:eastAsia="zh-CN" w:bidi="ar-SA"/>
    </w:rPr>
  </w:style>
  <w:style w:type="paragraph" w:customStyle="1" w:styleId="30">
    <w:name w:val="图名"/>
    <w:basedOn w:val="1"/>
    <w:next w:val="1"/>
    <w:qFormat/>
    <w:uiPriority w:val="0"/>
    <w:pPr>
      <w:widowControl/>
      <w:spacing w:before="50" w:beforeLines="50" w:line="240" w:lineRule="auto"/>
      <w:ind w:firstLine="0" w:firstLineChars="0"/>
      <w:jc w:val="center"/>
      <w:textAlignment w:val="center"/>
    </w:pPr>
    <w:rPr>
      <w:rFonts w:hint="eastAsia" w:ascii="Times New Roman" w:hAnsi="Times New Roman" w:eastAsia="楷体" w:cs="Times New Roman"/>
      <w:color w:val="000000"/>
      <w:kern w:val="0"/>
      <w:sz w:val="30"/>
      <w:szCs w:val="28"/>
    </w:rPr>
  </w:style>
  <w:style w:type="paragraph" w:customStyle="1" w:styleId="31">
    <w:name w:val="正文1"/>
    <w:basedOn w:val="32"/>
    <w:qFormat/>
    <w:uiPriority w:val="99"/>
    <w:pPr>
      <w:spacing w:before="156" w:after="156"/>
      <w:ind w:firstLine="600"/>
    </w:pPr>
    <w:rPr>
      <w:rFonts w:ascii="Times New Roman" w:hAnsi="Times New Roman" w:eastAsia="仿宋_GB2312"/>
      <w:sz w:val="30"/>
      <w:szCs w:val="30"/>
      <w:shd w:val="clear" w:color="auto" w:fill="FFFFFF"/>
    </w:rPr>
  </w:style>
  <w:style w:type="paragraph" w:customStyle="1" w:styleId="32">
    <w:name w:val="_Style 8"/>
    <w:basedOn w:val="1"/>
    <w:next w:val="33"/>
    <w:qFormat/>
    <w:uiPriority w:val="0"/>
    <w:pPr>
      <w:widowControl w:val="0"/>
      <w:ind w:firstLine="420" w:firstLineChars="200"/>
      <w:jc w:val="both"/>
    </w:pPr>
    <w:rPr>
      <w:rFonts w:ascii="等线" w:hAnsi="等线" w:eastAsia="等线" w:cs="Times New Roman"/>
      <w:color w:val="000000"/>
      <w:kern w:val="2"/>
      <w:sz w:val="21"/>
      <w:szCs w:val="22"/>
    </w:rPr>
  </w:style>
  <w:style w:type="paragraph" w:customStyle="1" w:styleId="33">
    <w:name w:val="_Style 10"/>
    <w:basedOn w:val="1"/>
    <w:qFormat/>
    <w:uiPriority w:val="34"/>
    <w:pPr>
      <w:widowControl w:val="0"/>
      <w:autoSpaceDE w:val="0"/>
      <w:autoSpaceDN w:val="0"/>
      <w:adjustRightInd w:val="0"/>
      <w:ind w:left="0" w:leftChars="0"/>
    </w:pPr>
    <w:rPr>
      <w:rFonts w:eastAsia="宋体"/>
      <w:kern w:val="0"/>
    </w:rPr>
  </w:style>
  <w:style w:type="paragraph" w:customStyle="1" w:styleId="34">
    <w:name w:val="目录"/>
    <w:basedOn w:val="35"/>
    <w:next w:val="1"/>
    <w:qFormat/>
    <w:uiPriority w:val="0"/>
    <w:pPr>
      <w:spacing w:before="200" w:beforeLines="200" w:after="150" w:afterLines="150"/>
      <w:ind w:firstLine="0" w:firstLineChars="0"/>
    </w:pPr>
    <w:rPr>
      <w:rFonts w:eastAsia="方正小标宋_GBK"/>
      <w:sz w:val="44"/>
    </w:rPr>
  </w:style>
  <w:style w:type="paragraph" w:customStyle="1" w:styleId="35">
    <w:name w:val="封面"/>
    <w:basedOn w:val="1"/>
    <w:next w:val="1"/>
    <w:qFormat/>
    <w:uiPriority w:val="0"/>
    <w:pPr>
      <w:snapToGrid w:val="0"/>
      <w:spacing w:before="1100" w:beforeLines="1100" w:line="240" w:lineRule="auto"/>
      <w:ind w:firstLine="0" w:firstLineChars="0"/>
      <w:jc w:val="center"/>
    </w:pPr>
    <w:rPr>
      <w:rFonts w:ascii="方正小标宋简体" w:hAnsi="方正小标宋简体" w:eastAsia="方正小标宋_GBK"/>
      <w:sz w:val="52"/>
    </w:rPr>
  </w:style>
  <w:style w:type="paragraph" w:customStyle="1" w:styleId="36">
    <w:name w:val="Table Paragraph"/>
    <w:basedOn w:val="1"/>
    <w:qFormat/>
    <w:uiPriority w:val="1"/>
    <w:pPr>
      <w:widowControl w:val="0"/>
      <w:autoSpaceDE w:val="0"/>
      <w:autoSpaceDN w:val="0"/>
      <w:adjustRightInd w:val="0"/>
      <w:ind w:left="0" w:leftChars="0"/>
    </w:pPr>
    <w:rPr>
      <w:rFonts w:ascii="黑体" w:eastAsia="黑体" w:cs="黑体"/>
      <w:kern w:val="0"/>
    </w:rPr>
  </w:style>
  <w:style w:type="paragraph" w:customStyle="1" w:styleId="37">
    <w:name w:val="无间隔1"/>
    <w:qFormat/>
    <w:uiPriority w:val="0"/>
    <w:pPr>
      <w:widowControl w:val="0"/>
      <w:ind w:firstLine="200" w:firstLineChars="200"/>
      <w:jc w:val="both"/>
    </w:pPr>
    <w:rPr>
      <w:rFonts w:ascii="Calibri" w:hAnsi="Calibri" w:eastAsia="宋体" w:cs="Times New Roman"/>
      <w:kern w:val="2"/>
      <w:sz w:val="28"/>
      <w:szCs w:val="24"/>
      <w:lang w:val="en-US" w:eastAsia="zh-CN" w:bidi="ar-SA"/>
    </w:rPr>
  </w:style>
  <w:style w:type="paragraph" w:customStyle="1" w:styleId="38">
    <w:name w:val="图片"/>
    <w:basedOn w:val="1"/>
    <w:next w:val="1"/>
    <w:qFormat/>
    <w:uiPriority w:val="0"/>
    <w:pPr>
      <w:widowControl/>
      <w:spacing w:before="50" w:beforeLines="50" w:line="240" w:lineRule="auto"/>
      <w:ind w:firstLine="0" w:firstLineChars="0"/>
      <w:jc w:val="center"/>
      <w:textAlignment w:val="center"/>
    </w:pPr>
    <w:rPr>
      <w:rFonts w:hint="eastAsia" w:cs="Times New Roman"/>
      <w:color w:val="000000"/>
      <w:kern w:val="0"/>
      <w:sz w:val="24"/>
      <w:szCs w:val="28"/>
    </w:rPr>
  </w:style>
  <w:style w:type="paragraph" w:customStyle="1" w:styleId="39">
    <w:name w:val="toa heading1"/>
    <w:next w:val="1"/>
    <w:qFormat/>
    <w:uiPriority w:val="0"/>
    <w:pPr>
      <w:spacing w:before="120"/>
      <w:jc w:val="both"/>
    </w:pPr>
    <w:rPr>
      <w:rFonts w:ascii="Arial" w:hAnsi="Arial" w:eastAsia="宋体" w:cs="Times New Roman"/>
      <w:sz w:val="24"/>
      <w:szCs w:val="21"/>
      <w:lang w:val="en-US" w:eastAsia="zh-CN" w:bidi="ar-SA"/>
    </w:rPr>
  </w:style>
  <w:style w:type="paragraph" w:customStyle="1" w:styleId="40">
    <w:name w:val="表格第一行"/>
    <w:basedOn w:val="1"/>
    <w:link w:val="57"/>
    <w:qFormat/>
    <w:uiPriority w:val="0"/>
    <w:pPr>
      <w:keepNext w:val="0"/>
      <w:snapToGrid w:val="0"/>
      <w:spacing w:line="240" w:lineRule="auto"/>
      <w:ind w:firstLine="0" w:firstLineChars="0"/>
      <w:jc w:val="center"/>
    </w:pPr>
    <w:rPr>
      <w:rFonts w:ascii="黑体" w:hAnsi="黑体" w:eastAsia="黑体" w:cs="黑体"/>
      <w:sz w:val="24"/>
      <w:szCs w:val="20"/>
    </w:rPr>
  </w:style>
  <w:style w:type="paragraph" w:customStyle="1" w:styleId="41">
    <w:name w:val="附表正文"/>
    <w:basedOn w:val="1"/>
    <w:qFormat/>
    <w:uiPriority w:val="0"/>
    <w:pPr>
      <w:widowControl w:val="0"/>
      <w:autoSpaceDE w:val="0"/>
      <w:autoSpaceDN w:val="0"/>
      <w:spacing w:line="400" w:lineRule="exact"/>
      <w:ind w:firstLine="0" w:firstLineChars="0"/>
      <w:jc w:val="center"/>
      <w:textAlignment w:val="center"/>
    </w:pPr>
    <w:rPr>
      <w:kern w:val="0"/>
      <w:sz w:val="21"/>
      <w:szCs w:val="24"/>
      <w:lang w:bidi="ar"/>
    </w:rPr>
  </w:style>
  <w:style w:type="paragraph" w:customStyle="1" w:styleId="42">
    <w:name w:val="附则一级标题"/>
    <w:basedOn w:val="1"/>
    <w:qFormat/>
    <w:uiPriority w:val="0"/>
    <w:pPr>
      <w:numPr>
        <w:ilvl w:val="0"/>
        <w:numId w:val="3"/>
      </w:numPr>
      <w:spacing w:line="560" w:lineRule="exact"/>
      <w:ind w:firstLine="1040" w:firstLineChars="200"/>
    </w:pPr>
    <w:rPr>
      <w:rFonts w:ascii="黑体" w:hAnsi="黑体" w:eastAsia="黑体"/>
    </w:rPr>
  </w:style>
  <w:style w:type="paragraph" w:customStyle="1" w:styleId="43">
    <w:name w:val="专栏段首主题句"/>
    <w:basedOn w:val="1"/>
    <w:link w:val="60"/>
    <w:qFormat/>
    <w:uiPriority w:val="0"/>
    <w:pPr>
      <w:spacing w:line="500" w:lineRule="exact"/>
    </w:pPr>
    <w:rPr>
      <w:rFonts w:hint="eastAsia" w:eastAsia="楷体_GB2312"/>
      <w:sz w:val="24"/>
    </w:rPr>
  </w:style>
  <w:style w:type="paragraph" w:customStyle="1" w:styleId="44">
    <w:name w:val="封面内容"/>
    <w:basedOn w:val="1"/>
    <w:qFormat/>
    <w:uiPriority w:val="0"/>
    <w:pPr>
      <w:numPr>
        <w:ilvl w:val="0"/>
        <w:numId w:val="0"/>
      </w:numPr>
      <w:spacing w:line="240" w:lineRule="auto"/>
      <w:ind w:left="0" w:firstLine="0" w:firstLineChars="0"/>
      <w:jc w:val="center"/>
    </w:pPr>
    <w:rPr>
      <w:rFonts w:eastAsia="方正小标宋_GBK"/>
      <w:sz w:val="44"/>
    </w:rPr>
  </w:style>
  <w:style w:type="paragraph" w:customStyle="1" w:styleId="45">
    <w:name w:val="附则"/>
    <w:basedOn w:val="1"/>
    <w:link w:val="58"/>
    <w:qFormat/>
    <w:uiPriority w:val="0"/>
    <w:pPr>
      <w:widowControl/>
      <w:ind w:firstLine="0" w:firstLineChars="0"/>
      <w:jc w:val="left"/>
      <w:outlineLvl w:val="0"/>
    </w:pPr>
    <w:rPr>
      <w:rFonts w:eastAsia="黑体"/>
      <w:b/>
      <w:szCs w:val="32"/>
    </w:rPr>
  </w:style>
  <w:style w:type="paragraph" w:customStyle="1" w:styleId="46">
    <w:name w:val="表格"/>
    <w:next w:val="1"/>
    <w:qFormat/>
    <w:uiPriority w:val="0"/>
    <w:pPr>
      <w:jc w:val="center"/>
      <w:textAlignment w:val="center"/>
    </w:pPr>
    <w:rPr>
      <w:rFonts w:hint="eastAsia" w:ascii="宋体" w:hAnsi="宋体" w:eastAsia="宋体" w:cs="Times New Roman"/>
      <w:color w:val="000000"/>
      <w:sz w:val="22"/>
      <w:lang w:val="en-US" w:eastAsia="zh-CN" w:bidi="ar-SA"/>
    </w:rPr>
  </w:style>
  <w:style w:type="paragraph" w:customStyle="1" w:styleId="47">
    <w:name w:val="附表"/>
    <w:basedOn w:val="1"/>
    <w:link w:val="62"/>
    <w:qFormat/>
    <w:uiPriority w:val="0"/>
    <w:pPr>
      <w:widowControl/>
      <w:ind w:firstLine="0" w:firstLineChars="0"/>
      <w:jc w:val="center"/>
      <w:outlineLvl w:val="1"/>
    </w:pPr>
    <w:rPr>
      <w:rFonts w:ascii="黑体" w:hAnsi="黑体" w:eastAsia="黑体"/>
      <w:szCs w:val="32"/>
    </w:rPr>
  </w:style>
  <w:style w:type="paragraph" w:customStyle="1" w:styleId="48">
    <w:name w:val="专栏标题"/>
    <w:basedOn w:val="1"/>
    <w:next w:val="1"/>
    <w:qFormat/>
    <w:uiPriority w:val="0"/>
    <w:pPr>
      <w:numPr>
        <w:ilvl w:val="1"/>
        <w:numId w:val="0"/>
      </w:numPr>
      <w:tabs>
        <w:tab w:val="left" w:pos="0"/>
      </w:tabs>
      <w:spacing w:before="50" w:beforeLines="50" w:after="50" w:afterLines="50" w:line="240" w:lineRule="auto"/>
      <w:ind w:firstLine="0" w:firstLineChars="0"/>
      <w:jc w:val="center"/>
      <w:outlineLvl w:val="9"/>
    </w:pPr>
    <w:rPr>
      <w:rFonts w:ascii="Times New Roman" w:hAnsi="Times New Roman" w:eastAsia="黑体"/>
    </w:rPr>
  </w:style>
  <w:style w:type="paragraph" w:customStyle="1" w:styleId="49">
    <w:name w:val="表格内容"/>
    <w:basedOn w:val="1"/>
    <w:qFormat/>
    <w:uiPriority w:val="0"/>
    <w:pPr>
      <w:keepNext w:val="0"/>
      <w:snapToGrid w:val="0"/>
      <w:spacing w:line="240" w:lineRule="auto"/>
      <w:ind w:firstLine="0" w:firstLineChars="0"/>
      <w:jc w:val="center"/>
    </w:pPr>
    <w:rPr>
      <w:sz w:val="24"/>
      <w:szCs w:val="20"/>
    </w:rPr>
  </w:style>
  <w:style w:type="paragraph" w:customStyle="1" w:styleId="50">
    <w:name w:val="附则题目"/>
    <w:basedOn w:val="1"/>
    <w:qFormat/>
    <w:uiPriority w:val="0"/>
    <w:pPr>
      <w:spacing w:before="350" w:beforeLines="350" w:after="150" w:afterLines="150" w:line="240" w:lineRule="auto"/>
      <w:ind w:firstLine="0" w:firstLineChars="0"/>
      <w:jc w:val="center"/>
    </w:pPr>
    <w:rPr>
      <w:rFonts w:ascii="方正小标宋简体" w:hAnsi="方正小标宋简体" w:eastAsia="方正小标宋_GBK"/>
      <w:sz w:val="44"/>
    </w:rPr>
  </w:style>
  <w:style w:type="paragraph" w:customStyle="1" w:styleId="51">
    <w:name w:val="强制性内容"/>
    <w:basedOn w:val="1"/>
    <w:link w:val="55"/>
    <w:qFormat/>
    <w:uiPriority w:val="0"/>
    <w:pPr>
      <w:ind w:firstLine="640"/>
    </w:pPr>
    <w:rPr>
      <w:u w:val="single"/>
    </w:rPr>
  </w:style>
  <w:style w:type="paragraph" w:customStyle="1" w:styleId="52">
    <w:name w:val="落款"/>
    <w:next w:val="1"/>
    <w:link w:val="59"/>
    <w:qFormat/>
    <w:uiPriority w:val="0"/>
    <w:pPr>
      <w:spacing w:line="560" w:lineRule="exact"/>
      <w:jc w:val="center"/>
    </w:pPr>
    <w:rPr>
      <w:rFonts w:ascii="楷体_GB2312" w:hAnsi="楷体_GB2312" w:eastAsia="楷体_GB2312" w:cs="Times New Roman"/>
      <w:sz w:val="32"/>
    </w:rPr>
  </w:style>
  <w:style w:type="character" w:customStyle="1" w:styleId="53">
    <w:name w:val="标题 2 字符"/>
    <w:link w:val="3"/>
    <w:qFormat/>
    <w:uiPriority w:val="9"/>
    <w:rPr>
      <w:rFonts w:ascii="Times New Roman" w:hAnsi="Times New Roman" w:eastAsia="黑体"/>
      <w:kern w:val="2"/>
      <w:sz w:val="32"/>
      <w:szCs w:val="22"/>
      <w:lang w:val="en-US" w:eastAsia="zh-CN" w:bidi="ar-SA"/>
    </w:rPr>
  </w:style>
  <w:style w:type="character" w:customStyle="1" w:styleId="54">
    <w:name w:val="日期 字符"/>
    <w:basedOn w:val="18"/>
    <w:link w:val="10"/>
    <w:semiHidden/>
    <w:qFormat/>
    <w:uiPriority w:val="99"/>
  </w:style>
  <w:style w:type="character" w:customStyle="1" w:styleId="55">
    <w:name w:val="强制性内容 字符"/>
    <w:link w:val="51"/>
    <w:qFormat/>
    <w:uiPriority w:val="0"/>
    <w:rPr>
      <w:rFonts w:ascii="仿宋_GB2312" w:eastAsia="仿宋_GB2312"/>
      <w:kern w:val="2"/>
      <w:sz w:val="32"/>
      <w:szCs w:val="22"/>
      <w:u w:val="single"/>
    </w:rPr>
  </w:style>
  <w:style w:type="character" w:customStyle="1" w:styleId="56">
    <w:name w:val="附表标题 Char"/>
    <w:link w:val="26"/>
    <w:qFormat/>
    <w:uiPriority w:val="0"/>
    <w:rPr>
      <w:rFonts w:eastAsia="黑体"/>
      <w:szCs w:val="32"/>
    </w:rPr>
  </w:style>
  <w:style w:type="character" w:customStyle="1" w:styleId="57">
    <w:name w:val="表格第一行 Char"/>
    <w:link w:val="40"/>
    <w:qFormat/>
    <w:uiPriority w:val="0"/>
    <w:rPr>
      <w:rFonts w:ascii="黑体" w:hAnsi="黑体" w:eastAsia="黑体" w:cs="黑体"/>
      <w:sz w:val="24"/>
      <w:szCs w:val="20"/>
    </w:rPr>
  </w:style>
  <w:style w:type="character" w:customStyle="1" w:styleId="58">
    <w:name w:val="附则 Char"/>
    <w:link w:val="45"/>
    <w:qFormat/>
    <w:uiPriority w:val="0"/>
    <w:rPr>
      <w:rFonts w:eastAsia="黑体"/>
      <w:b/>
      <w:szCs w:val="32"/>
    </w:rPr>
  </w:style>
  <w:style w:type="character" w:customStyle="1" w:styleId="59">
    <w:name w:val="落款 Char"/>
    <w:link w:val="52"/>
    <w:qFormat/>
    <w:uiPriority w:val="0"/>
    <w:rPr>
      <w:rFonts w:ascii="楷体_GB2312" w:hAnsi="楷体_GB2312" w:eastAsia="楷体_GB2312"/>
      <w:sz w:val="32"/>
    </w:rPr>
  </w:style>
  <w:style w:type="character" w:customStyle="1" w:styleId="60">
    <w:name w:val="专栏段首主题句 Char"/>
    <w:link w:val="43"/>
    <w:qFormat/>
    <w:uiPriority w:val="0"/>
    <w:rPr>
      <w:rFonts w:hint="eastAsia" w:eastAsia="楷体_GB2312"/>
      <w:sz w:val="24"/>
    </w:rPr>
  </w:style>
  <w:style w:type="character" w:customStyle="1" w:styleId="61">
    <w:name w:val="专栏正文 Char"/>
    <w:link w:val="23"/>
    <w:qFormat/>
    <w:uiPriority w:val="0"/>
    <w:rPr>
      <w:sz w:val="24"/>
    </w:rPr>
  </w:style>
  <w:style w:type="character" w:customStyle="1" w:styleId="62">
    <w:name w:val="附表 Char"/>
    <w:link w:val="47"/>
    <w:qFormat/>
    <w:uiPriority w:val="0"/>
    <w:rPr>
      <w:rFonts w:ascii="黑体" w:hAnsi="黑体" w:eastAsia="黑体"/>
      <w:szCs w:val="32"/>
    </w:rPr>
  </w:style>
  <w:style w:type="character" w:customStyle="1" w:styleId="63">
    <w:name w:val="标题 1 字符"/>
    <w:link w:val="2"/>
    <w:qFormat/>
    <w:uiPriority w:val="9"/>
    <w:rPr>
      <w:rFonts w:ascii="Times New Roman" w:hAnsi="Times New Roman" w:eastAsia="方正小标宋_GBK"/>
      <w:kern w:val="2"/>
      <w:sz w:val="36"/>
      <w:szCs w:val="44"/>
      <w:lang w:val="en-US" w:eastAsia="zh-CN" w:bidi="ar-SA"/>
    </w:rPr>
  </w:style>
  <w:style w:type="character" w:customStyle="1" w:styleId="64">
    <w:name w:val="目录 1 Char"/>
    <w:link w:val="14"/>
    <w:qFormat/>
    <w:uiPriority w:val="0"/>
    <w:rPr>
      <w:rFonts w:hAnsi="仿宋_GB2312" w:eastAsia="黑体"/>
    </w:rPr>
  </w:style>
  <w:style w:type="character" w:customStyle="1" w:styleId="65">
    <w:name w:val="标题 3 字符"/>
    <w:link w:val="4"/>
    <w:qFormat/>
    <w:uiPriority w:val="9"/>
    <w:rPr>
      <w:rFonts w:ascii="楷体_GB2312" w:hAnsi="楷体_GB2312" w:eastAsia="楷体_GB2312"/>
      <w:bCs/>
      <w:kern w:val="2"/>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74</Pages>
  <Words>24922</Words>
  <Characters>26954</Characters>
  <Lines>1</Lines>
  <Paragraphs>1</Paragraphs>
  <ScaleCrop>false</ScaleCrop>
  <LinksUpToDate>false</LinksUpToDate>
  <CharactersWithSpaces>27515</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2024-08-19T03:48:00Z</dcterms:created>
  <dc:creator>Administrator</dc:creator>
  <cp:lastModifiedBy>wdm</cp:lastModifiedBy>
  <dcterms:modified xsi:type="dcterms:W3CDTF">2026-02-24T01:40:50Z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3D90F826DAFF4E6EA9FD5C2BBC702BFF_13</vt:lpwstr>
  </property>
  <property fmtid="{D5CDD505-2E9C-101B-9397-08002B2CF9AE}" pid="4" name="KSOTemplateDocerSaveRecord">
    <vt:lpwstr>eyJoZGlkIjoiMTM0NjQ2MzcxNjVhOWY5ZjNkNjZhZDU4ZDE5YmMwZWUifQ==</vt:lpwstr>
  </property>
</Properties>
</file>