
<file path=[Content_Types].xml><?xml version="1.0" encoding="utf-8"?>
<Types xmlns="http://schemas.openxmlformats.org/package/2006/content-types">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0D3D867">
      <w:pPr>
        <w:rPr>
          <w:rFonts w:hint="default"/>
          <w:b/>
          <w:bCs/>
          <w:lang w:val="en-US" w:eastAsia="zh-CN"/>
        </w:rPr>
      </w:pPr>
      <w:r>
        <w:rPr>
          <w:rFonts w:hint="default"/>
          <w:b/>
          <w:bCs/>
          <w:lang w:val="en-US" w:eastAsia="zh-CN"/>
        </w:rPr>
        <w:t>《井陉县微水镇、秀林镇、北正乡（中心城区外）片区国土空间规划（2021-2035年）》批后公告</w:t>
      </w:r>
    </w:p>
    <w:p w14:paraId="40EE2E84">
      <w:pPr>
        <w:rPr>
          <w:rFonts w:hint="default"/>
          <w:lang w:val="en-US" w:eastAsia="zh-CN"/>
        </w:rPr>
      </w:pPr>
      <w:r>
        <w:rPr>
          <w:rFonts w:hint="default"/>
          <w:lang w:val="en-US" w:eastAsia="zh-CN"/>
        </w:rPr>
        <w:t>《井陉县微水镇、秀林镇、北正乡（中心城区外）片区国土空间规划（2021-2035年）》已于2025年6月30日获</w:t>
      </w:r>
      <w:r>
        <w:rPr>
          <w:rFonts w:hint="eastAsia"/>
          <w:lang w:val="en-US" w:eastAsia="zh-CN"/>
        </w:rPr>
        <w:t>井陉</w:t>
      </w:r>
      <w:r>
        <w:rPr>
          <w:rFonts w:hint="default"/>
          <w:lang w:val="en-US" w:eastAsia="zh-CN"/>
        </w:rPr>
        <w:t>县人民政府批准（</w:t>
      </w:r>
      <w:r>
        <w:rPr>
          <w:rFonts w:hint="eastAsia"/>
          <w:lang w:val="en-US" w:eastAsia="zh-CN"/>
        </w:rPr>
        <w:t>井</w:t>
      </w:r>
      <w:r>
        <w:rPr>
          <w:rFonts w:hint="default"/>
          <w:lang w:val="en-US" w:eastAsia="zh-CN"/>
        </w:rPr>
        <w:t>政[2025]</w:t>
      </w:r>
      <w:r>
        <w:rPr>
          <w:rFonts w:hint="eastAsia"/>
          <w:lang w:val="en-US" w:eastAsia="zh-CN"/>
        </w:rPr>
        <w:t>64</w:t>
      </w:r>
      <w:r>
        <w:rPr>
          <w:rFonts w:hint="default"/>
          <w:lang w:val="en-US" w:eastAsia="zh-CN"/>
        </w:rPr>
        <w:t>号），现予以公告。为贯彻落实《中共中央国务院关于建立国土空间规划体系并监督实施的若干意见》《全国国土空间规划纲要（2021-2035年）》《京津冀协同发展规划纲要》《河北省国土空间规划（2021-2035年）》《石家庄市国土空间总体规划（2021-2035年）》《</w:t>
      </w:r>
      <w:r>
        <w:rPr>
          <w:rFonts w:hint="eastAsia"/>
          <w:lang w:val="en-US" w:eastAsia="zh-CN"/>
        </w:rPr>
        <w:t>井陉</w:t>
      </w:r>
      <w:r>
        <w:rPr>
          <w:rFonts w:hint="default"/>
          <w:lang w:val="en-US" w:eastAsia="zh-CN"/>
        </w:rPr>
        <w:t>县国土空间总体规划（2021-2035 年）》各项要求，推动形成人与自然和谐共生的国土空间开发保护新格局，提升空间治理现代化水平，编制本规划。</w:t>
      </w:r>
    </w:p>
    <w:p w14:paraId="6A5E3DF4">
      <w:pPr>
        <w:rPr>
          <w:rFonts w:hint="default"/>
          <w:lang w:val="en-US" w:eastAsia="zh-CN"/>
        </w:rPr>
      </w:pPr>
      <w:r>
        <w:rPr>
          <w:rFonts w:hint="default"/>
          <w:lang w:val="en-US" w:eastAsia="zh-CN"/>
        </w:rPr>
        <w:t>现将规划主要内容公布如下：</w:t>
      </w:r>
    </w:p>
    <w:p w14:paraId="1BC4C45C">
      <w:pPr>
        <w:rPr>
          <w:rFonts w:hint="eastAsia" w:ascii="黑体" w:hAnsi="黑体" w:eastAsia="黑体" w:cs="黑体"/>
          <w:lang w:val="en-US" w:eastAsia="zh-CN"/>
        </w:rPr>
      </w:pPr>
      <w:r>
        <w:rPr>
          <w:rFonts w:hint="eastAsia" w:ascii="黑体" w:hAnsi="黑体" w:eastAsia="黑体" w:cs="黑体"/>
          <w:lang w:val="en-US" w:eastAsia="zh-CN"/>
        </w:rPr>
        <w:t>一、规划范围</w:t>
      </w:r>
    </w:p>
    <w:p w14:paraId="43C0D400">
      <w:pPr>
        <w:rPr>
          <w:rFonts w:hint="default"/>
          <w:lang w:val="en-US" w:eastAsia="zh-CN"/>
        </w:rPr>
      </w:pPr>
      <w:r>
        <w:rPr>
          <w:rFonts w:hint="default"/>
          <w:lang w:val="en-US" w:eastAsia="zh-CN"/>
        </w:rPr>
        <w:t>规划范围为微水镇、秀林镇、北正乡三个乡镇行政辖区，不包括《井陉县国土空间总体规划（2021-2035年）》确定的中心城区范围，总面积约146.50平方公里（其中微水镇约81.98平方公里，秀林镇约52.89平方公里、北正乡约11.63平方公里）。</w:t>
      </w:r>
    </w:p>
    <w:p w14:paraId="0B95A61D">
      <w:pPr>
        <w:rPr>
          <w:rFonts w:hint="default"/>
          <w:lang w:val="en-US" w:eastAsia="zh-CN"/>
        </w:rPr>
      </w:pPr>
      <w:r>
        <w:rPr>
          <w:rFonts w:hint="default"/>
          <w:lang w:val="en-US" w:eastAsia="zh-CN"/>
        </w:rPr>
        <w:t>研究范围为微水镇、秀林镇、北正乡三个乡镇行政辖区，总面积约174.99平方公里</w:t>
      </w:r>
      <w:r>
        <w:rPr>
          <w:rFonts w:hint="eastAsia"/>
          <w:lang w:val="en-US" w:eastAsia="zh-CN"/>
        </w:rPr>
        <w:t>，其中“三区三线”等包含</w:t>
      </w:r>
      <w:r>
        <w:rPr>
          <w:rFonts w:hint="default"/>
          <w:lang w:val="en-US" w:eastAsia="zh-CN"/>
        </w:rPr>
        <w:t>中心城区范围</w:t>
      </w:r>
      <w:r>
        <w:rPr>
          <w:rFonts w:hint="eastAsia"/>
          <w:lang w:val="en-US" w:eastAsia="zh-CN"/>
        </w:rPr>
        <w:t>内</w:t>
      </w:r>
      <w:r>
        <w:rPr>
          <w:rFonts w:hint="default"/>
          <w:lang w:val="en-US" w:eastAsia="zh-CN"/>
        </w:rPr>
        <w:t>数据。</w:t>
      </w:r>
    </w:p>
    <w:p w14:paraId="41A3A50F">
      <w:pPr>
        <w:rPr>
          <w:rFonts w:hint="default" w:ascii="黑体" w:hAnsi="黑体" w:eastAsia="黑体" w:cs="黑体"/>
          <w:lang w:val="en-US" w:eastAsia="zh-CN"/>
        </w:rPr>
      </w:pPr>
      <w:r>
        <w:rPr>
          <w:rFonts w:hint="default" w:ascii="黑体" w:hAnsi="黑体" w:eastAsia="黑体" w:cs="黑体"/>
          <w:lang w:val="en-US" w:eastAsia="zh-CN"/>
        </w:rPr>
        <w:t>二、规划期限</w:t>
      </w:r>
    </w:p>
    <w:p w14:paraId="609E5AF3">
      <w:pPr>
        <w:rPr>
          <w:rFonts w:hint="default"/>
          <w:lang w:val="en-US" w:eastAsia="zh-CN"/>
        </w:rPr>
      </w:pPr>
      <w:r>
        <w:rPr>
          <w:rFonts w:hint="default"/>
          <w:lang w:val="en-US" w:eastAsia="zh-CN"/>
        </w:rPr>
        <w:t>规划基期年为2020年，规划期限为2021-2035年，近期至2025年，远景展望至2050年。</w:t>
      </w:r>
    </w:p>
    <w:p w14:paraId="042ED5BB">
      <w:pPr>
        <w:rPr>
          <w:rFonts w:hint="default" w:ascii="黑体" w:hAnsi="黑体" w:eastAsia="黑体" w:cs="黑体"/>
          <w:lang w:val="en-US" w:eastAsia="zh-CN"/>
        </w:rPr>
      </w:pPr>
      <w:r>
        <w:rPr>
          <w:rFonts w:hint="default" w:ascii="黑体" w:hAnsi="黑体" w:eastAsia="黑体" w:cs="黑体"/>
          <w:lang w:val="en-US" w:eastAsia="zh-CN"/>
        </w:rPr>
        <w:t>三、规划定位</w:t>
      </w:r>
    </w:p>
    <w:p w14:paraId="7D169888">
      <w:pPr>
        <w:rPr>
          <w:rFonts w:hint="default"/>
          <w:lang w:val="en-US" w:eastAsia="zh-CN"/>
        </w:rPr>
      </w:pPr>
      <w:r>
        <w:rPr>
          <w:rFonts w:hint="default"/>
          <w:lang w:val="en-US" w:eastAsia="zh-CN"/>
        </w:rPr>
        <w:t>井陉县城乡协调发展示范区。</w:t>
      </w:r>
    </w:p>
    <w:p w14:paraId="6AE667C1">
      <w:pPr>
        <w:rPr>
          <w:rFonts w:hint="default" w:ascii="黑体" w:hAnsi="黑体" w:eastAsia="黑体" w:cs="黑体"/>
          <w:lang w:val="en-US" w:eastAsia="zh-CN"/>
        </w:rPr>
      </w:pPr>
      <w:r>
        <w:rPr>
          <w:rFonts w:hint="eastAsia" w:ascii="黑体" w:hAnsi="黑体" w:eastAsia="黑体" w:cs="黑体"/>
          <w:lang w:val="en-US" w:eastAsia="zh-CN"/>
        </w:rPr>
        <w:t>四、</w:t>
      </w:r>
      <w:r>
        <w:rPr>
          <w:rFonts w:hint="default" w:ascii="黑体" w:hAnsi="黑体" w:eastAsia="黑体" w:cs="黑体"/>
          <w:lang w:val="en-US" w:eastAsia="zh-CN"/>
        </w:rPr>
        <w:t>规划目标</w:t>
      </w:r>
    </w:p>
    <w:p w14:paraId="283128A5">
      <w:pPr>
        <w:rPr>
          <w:rFonts w:hint="default"/>
          <w:lang w:val="en-US" w:eastAsia="zh-CN"/>
        </w:rPr>
      </w:pPr>
      <w:r>
        <w:rPr>
          <w:rFonts w:hint="eastAsia" w:ascii="仿宋_GB2312" w:hAnsi="仿宋_GB2312" w:eastAsia="仿宋_GB2312" w:cs="仿宋_GB2312"/>
          <w:color w:val="000000"/>
          <w:szCs w:val="32"/>
          <w:highlight w:val="none"/>
        </w:rPr>
        <w:t>到2025年，</w:t>
      </w:r>
      <w:r>
        <w:rPr>
          <w:rFonts w:hint="default"/>
          <w:lang w:val="en-US" w:eastAsia="zh-CN"/>
        </w:rPr>
        <w:t>初步实现区域协调发展和生态宜居典范的宏伟蓝图。农业空间质量持续提升，耕地规模与质量得到全面保障与提升。生态环境明显改善，山水林田湖草沙得到有效保护。城乡空间布局持续优化，国土空间开发保护新格局基本形成。</w:t>
      </w:r>
    </w:p>
    <w:p w14:paraId="18A52F7A">
      <w:pPr>
        <w:rPr>
          <w:rFonts w:hint="default"/>
          <w:lang w:val="en-US" w:eastAsia="zh-CN"/>
        </w:rPr>
      </w:pPr>
      <w:r>
        <w:rPr>
          <w:rFonts w:hint="eastAsia" w:ascii="仿宋_GB2312" w:hAnsi="仿宋_GB2312" w:eastAsia="仿宋_GB2312" w:cs="仿宋_GB2312"/>
          <w:color w:val="000000"/>
          <w:szCs w:val="32"/>
          <w:highlight w:val="none"/>
        </w:rPr>
        <w:t>到2035年，</w:t>
      </w:r>
      <w:r>
        <w:rPr>
          <w:rFonts w:hint="default"/>
          <w:lang w:val="en-US" w:eastAsia="zh-CN"/>
        </w:rPr>
        <w:t>全面建成区域协调发展和生态宜居典范。农业空间更加优质，耕地规模、质量与布局实现全面提升。生态环境根本好转。城乡空间更加集约高效，实现基本公共服务均等化，城乡发展更加协调，建设成为乡村富裕优美、人民安居乐业的标杆。</w:t>
      </w:r>
    </w:p>
    <w:p w14:paraId="65E71FD8">
      <w:pPr>
        <w:rPr>
          <w:rFonts w:hint="default"/>
          <w:lang w:val="en-US" w:eastAsia="zh-CN"/>
        </w:rPr>
      </w:pPr>
      <w:r>
        <w:rPr>
          <w:rFonts w:hint="eastAsia" w:ascii="仿宋_GB2312" w:hAnsi="仿宋_GB2312" w:eastAsia="仿宋_GB2312" w:cs="仿宋_GB2312"/>
          <w:color w:val="000000"/>
          <w:szCs w:val="32"/>
          <w:highlight w:val="none"/>
        </w:rPr>
        <w:t>到20</w:t>
      </w:r>
      <w:r>
        <w:rPr>
          <w:rFonts w:hint="eastAsia" w:cs="仿宋_GB2312"/>
          <w:color w:val="000000"/>
          <w:szCs w:val="32"/>
          <w:highlight w:val="none"/>
          <w:lang w:val="en-US" w:eastAsia="zh-CN"/>
        </w:rPr>
        <w:t>50</w:t>
      </w:r>
      <w:r>
        <w:rPr>
          <w:rFonts w:hint="eastAsia" w:ascii="仿宋_GB2312" w:hAnsi="仿宋_GB2312" w:eastAsia="仿宋_GB2312" w:cs="仿宋_GB2312"/>
          <w:color w:val="000000"/>
          <w:szCs w:val="32"/>
          <w:highlight w:val="none"/>
        </w:rPr>
        <w:t>年，</w:t>
      </w:r>
      <w:r>
        <w:rPr>
          <w:rFonts w:hint="default"/>
          <w:lang w:val="en-US" w:eastAsia="zh-CN"/>
        </w:rPr>
        <w:t>全面建设成为人与自然和谐共生、城乡协调宜居的美好人居典范。</w:t>
      </w:r>
    </w:p>
    <w:p w14:paraId="3585A42D">
      <w:pPr>
        <w:rPr>
          <w:rFonts w:hint="default" w:ascii="黑体" w:hAnsi="黑体" w:eastAsia="黑体" w:cs="黑体"/>
          <w:lang w:val="en-US" w:eastAsia="zh-CN"/>
        </w:rPr>
      </w:pPr>
      <w:r>
        <w:rPr>
          <w:rFonts w:hint="eastAsia" w:ascii="黑体" w:hAnsi="黑体" w:eastAsia="黑体" w:cs="黑体"/>
          <w:lang w:val="en-US" w:eastAsia="zh-CN"/>
        </w:rPr>
        <w:t>五、</w:t>
      </w:r>
      <w:r>
        <w:rPr>
          <w:rFonts w:hint="default" w:ascii="黑体" w:hAnsi="黑体" w:eastAsia="黑体" w:cs="黑体"/>
          <w:lang w:val="en-US" w:eastAsia="zh-CN"/>
        </w:rPr>
        <w:t>落实“三区三线”</w:t>
      </w:r>
    </w:p>
    <w:p w14:paraId="107A6B2C">
      <w:pPr>
        <w:rPr>
          <w:rFonts w:hint="default" w:ascii="仿宋_GB2312" w:hAnsi="仿宋_GB2312" w:eastAsia="仿宋_GB2312" w:cs="仿宋_GB2312"/>
          <w:color w:val="000000"/>
          <w:szCs w:val="32"/>
          <w:highlight w:val="none"/>
          <w:lang w:val="en-US" w:eastAsia="zh-CN"/>
        </w:rPr>
      </w:pPr>
      <w:r>
        <w:rPr>
          <w:rFonts w:hint="default" w:ascii="仿宋_GB2312" w:hAnsi="仿宋_GB2312" w:eastAsia="仿宋_GB2312" w:cs="仿宋_GB2312"/>
          <w:color w:val="000000"/>
          <w:szCs w:val="32"/>
          <w:highlight w:val="none"/>
          <w:lang w:val="en-US" w:eastAsia="zh-CN"/>
        </w:rPr>
        <w:t>筑牢国土空间底线，微水镇耕地保有量不低于</w:t>
      </w:r>
      <w:r>
        <w:rPr>
          <w:rFonts w:hint="eastAsia" w:cs="仿宋_GB2312"/>
          <w:color w:val="000000"/>
          <w:szCs w:val="32"/>
          <w:highlight w:val="none"/>
          <w:lang w:val="en-US" w:eastAsia="zh-CN"/>
        </w:rPr>
        <w:t>2080.10公顷（</w:t>
      </w:r>
      <w:r>
        <w:rPr>
          <w:rFonts w:hint="default" w:ascii="仿宋_GB2312" w:hAnsi="仿宋_GB2312" w:eastAsia="仿宋_GB2312" w:cs="仿宋_GB2312"/>
          <w:color w:val="000000"/>
          <w:szCs w:val="32"/>
          <w:highlight w:val="none"/>
          <w:lang w:val="en-US" w:eastAsia="zh-CN"/>
        </w:rPr>
        <w:t>3.120万亩</w:t>
      </w:r>
      <w:r>
        <w:rPr>
          <w:rFonts w:hint="eastAsia" w:cs="仿宋_GB2312"/>
          <w:color w:val="000000"/>
          <w:szCs w:val="32"/>
          <w:highlight w:val="none"/>
          <w:lang w:val="en-US" w:eastAsia="zh-CN"/>
        </w:rPr>
        <w:t>）</w:t>
      </w:r>
      <w:r>
        <w:rPr>
          <w:rFonts w:hint="default" w:ascii="仿宋_GB2312" w:hAnsi="仿宋_GB2312" w:eastAsia="仿宋_GB2312" w:cs="仿宋_GB2312"/>
          <w:color w:val="000000"/>
          <w:szCs w:val="32"/>
          <w:highlight w:val="none"/>
          <w:lang w:val="en-US" w:eastAsia="zh-CN"/>
        </w:rPr>
        <w:t>，</w:t>
      </w:r>
      <w:r>
        <w:rPr>
          <w:rFonts w:hint="eastAsia" w:cs="仿宋_GB2312"/>
          <w:color w:val="000000"/>
          <w:szCs w:val="32"/>
          <w:highlight w:val="none"/>
          <w:lang w:val="en-US" w:eastAsia="zh-CN"/>
        </w:rPr>
        <w:t>其中</w:t>
      </w:r>
      <w:r>
        <w:rPr>
          <w:rFonts w:hint="default" w:ascii="仿宋_GB2312" w:hAnsi="仿宋_GB2312" w:eastAsia="仿宋_GB2312" w:cs="仿宋_GB2312"/>
          <w:color w:val="000000"/>
          <w:szCs w:val="32"/>
          <w:highlight w:val="none"/>
          <w:lang w:val="en-US" w:eastAsia="zh-CN"/>
        </w:rPr>
        <w:t>永久基本农田面积不低于</w:t>
      </w:r>
      <w:r>
        <w:rPr>
          <w:rFonts w:hint="eastAsia" w:cs="仿宋_GB2312"/>
          <w:color w:val="000000"/>
          <w:szCs w:val="32"/>
          <w:highlight w:val="none"/>
          <w:lang w:val="en-US" w:eastAsia="zh-CN"/>
        </w:rPr>
        <w:t>1741.02公顷（</w:t>
      </w:r>
      <w:r>
        <w:rPr>
          <w:rFonts w:hint="default" w:ascii="仿宋_GB2312" w:hAnsi="仿宋_GB2312" w:eastAsia="仿宋_GB2312" w:cs="仿宋_GB2312"/>
          <w:color w:val="000000"/>
          <w:szCs w:val="32"/>
          <w:highlight w:val="none"/>
          <w:lang w:val="en-US" w:eastAsia="zh-CN"/>
        </w:rPr>
        <w:t>2.612万亩</w:t>
      </w:r>
      <w:r>
        <w:rPr>
          <w:rFonts w:hint="eastAsia" w:cs="仿宋_GB2312"/>
          <w:color w:val="000000"/>
          <w:szCs w:val="32"/>
          <w:highlight w:val="none"/>
          <w:lang w:val="en-US" w:eastAsia="zh-CN"/>
        </w:rPr>
        <w:t>）</w:t>
      </w:r>
      <w:r>
        <w:rPr>
          <w:rFonts w:hint="default" w:ascii="仿宋_GB2312" w:hAnsi="仿宋_GB2312" w:eastAsia="仿宋_GB2312" w:cs="仿宋_GB2312"/>
          <w:color w:val="000000"/>
          <w:szCs w:val="32"/>
          <w:highlight w:val="none"/>
          <w:lang w:val="en-US" w:eastAsia="zh-CN"/>
        </w:rPr>
        <w:t>；秀林镇耕地保有量不低于</w:t>
      </w:r>
      <w:r>
        <w:rPr>
          <w:rFonts w:hint="eastAsia" w:cs="仿宋_GB2312"/>
          <w:color w:val="000000"/>
          <w:szCs w:val="32"/>
          <w:highlight w:val="none"/>
          <w:lang w:val="en-US" w:eastAsia="zh-CN"/>
        </w:rPr>
        <w:t>1703.86公顷（</w:t>
      </w:r>
      <w:r>
        <w:rPr>
          <w:rFonts w:hint="default" w:ascii="仿宋_GB2312" w:hAnsi="仿宋_GB2312" w:eastAsia="仿宋_GB2312" w:cs="仿宋_GB2312"/>
          <w:color w:val="000000"/>
          <w:szCs w:val="32"/>
          <w:highlight w:val="none"/>
          <w:lang w:val="en-US" w:eastAsia="zh-CN"/>
        </w:rPr>
        <w:t>2.556万亩</w:t>
      </w:r>
      <w:r>
        <w:rPr>
          <w:rFonts w:hint="eastAsia" w:cs="仿宋_GB2312"/>
          <w:color w:val="000000"/>
          <w:szCs w:val="32"/>
          <w:highlight w:val="none"/>
          <w:lang w:val="en-US" w:eastAsia="zh-CN"/>
        </w:rPr>
        <w:t>）</w:t>
      </w:r>
      <w:r>
        <w:rPr>
          <w:rFonts w:hint="default" w:ascii="仿宋_GB2312" w:hAnsi="仿宋_GB2312" w:eastAsia="仿宋_GB2312" w:cs="仿宋_GB2312"/>
          <w:color w:val="000000"/>
          <w:szCs w:val="32"/>
          <w:highlight w:val="none"/>
          <w:lang w:val="en-US" w:eastAsia="zh-CN"/>
        </w:rPr>
        <w:t>，永久基本农田面积不低于</w:t>
      </w:r>
      <w:r>
        <w:rPr>
          <w:rFonts w:hint="eastAsia" w:cs="仿宋_GB2312"/>
          <w:color w:val="000000"/>
          <w:szCs w:val="32"/>
          <w:highlight w:val="none"/>
          <w:lang w:val="en-US" w:eastAsia="zh-CN"/>
        </w:rPr>
        <w:t>1542.90公顷（</w:t>
      </w:r>
      <w:r>
        <w:rPr>
          <w:rFonts w:hint="default" w:ascii="仿宋_GB2312" w:hAnsi="仿宋_GB2312" w:eastAsia="仿宋_GB2312" w:cs="仿宋_GB2312"/>
          <w:color w:val="000000"/>
          <w:szCs w:val="32"/>
          <w:highlight w:val="none"/>
          <w:lang w:val="en-US" w:eastAsia="zh-CN"/>
        </w:rPr>
        <w:t>2.314万亩</w:t>
      </w:r>
      <w:r>
        <w:rPr>
          <w:rFonts w:hint="eastAsia" w:cs="仿宋_GB2312"/>
          <w:color w:val="000000"/>
          <w:szCs w:val="32"/>
          <w:highlight w:val="none"/>
          <w:lang w:val="en-US" w:eastAsia="zh-CN"/>
        </w:rPr>
        <w:t>）</w:t>
      </w:r>
      <w:r>
        <w:rPr>
          <w:rFonts w:hint="default" w:ascii="仿宋_GB2312" w:hAnsi="仿宋_GB2312" w:eastAsia="仿宋_GB2312" w:cs="仿宋_GB2312"/>
          <w:color w:val="000000"/>
          <w:szCs w:val="32"/>
          <w:highlight w:val="none"/>
          <w:lang w:val="en-US" w:eastAsia="zh-CN"/>
        </w:rPr>
        <w:t>；北正乡耕地保有量不低于</w:t>
      </w:r>
      <w:r>
        <w:rPr>
          <w:rFonts w:hint="eastAsia" w:cs="仿宋_GB2312"/>
          <w:color w:val="000000"/>
          <w:szCs w:val="32"/>
          <w:highlight w:val="none"/>
          <w:lang w:val="en-US" w:eastAsia="zh-CN"/>
        </w:rPr>
        <w:t>711.26公顷（</w:t>
      </w:r>
      <w:r>
        <w:rPr>
          <w:rFonts w:hint="default" w:ascii="仿宋_GB2312" w:hAnsi="仿宋_GB2312" w:eastAsia="仿宋_GB2312" w:cs="仿宋_GB2312"/>
          <w:color w:val="000000"/>
          <w:szCs w:val="32"/>
          <w:highlight w:val="none"/>
          <w:lang w:val="en-US" w:eastAsia="zh-CN"/>
        </w:rPr>
        <w:t>1.067万亩</w:t>
      </w:r>
      <w:r>
        <w:rPr>
          <w:rFonts w:hint="eastAsia" w:cs="仿宋_GB2312"/>
          <w:color w:val="000000"/>
          <w:szCs w:val="32"/>
          <w:highlight w:val="none"/>
          <w:lang w:val="en-US" w:eastAsia="zh-CN"/>
        </w:rPr>
        <w:t>）</w:t>
      </w:r>
      <w:r>
        <w:rPr>
          <w:rFonts w:hint="default" w:ascii="仿宋_GB2312" w:hAnsi="仿宋_GB2312" w:eastAsia="仿宋_GB2312" w:cs="仿宋_GB2312"/>
          <w:color w:val="000000"/>
          <w:szCs w:val="32"/>
          <w:highlight w:val="none"/>
          <w:lang w:val="en-US" w:eastAsia="zh-CN"/>
        </w:rPr>
        <w:t>，永久基本农田面积不低于</w:t>
      </w:r>
      <w:r>
        <w:rPr>
          <w:rFonts w:hint="eastAsia" w:cs="仿宋_GB2312"/>
          <w:color w:val="000000"/>
          <w:szCs w:val="32"/>
          <w:highlight w:val="none"/>
          <w:lang w:val="en-US" w:eastAsia="zh-CN"/>
        </w:rPr>
        <w:t>417.43公顷（</w:t>
      </w:r>
      <w:r>
        <w:rPr>
          <w:rFonts w:hint="default" w:ascii="仿宋_GB2312" w:hAnsi="仿宋_GB2312" w:eastAsia="仿宋_GB2312" w:cs="仿宋_GB2312"/>
          <w:color w:val="000000"/>
          <w:szCs w:val="32"/>
          <w:highlight w:val="none"/>
          <w:lang w:val="en-US" w:eastAsia="zh-CN"/>
        </w:rPr>
        <w:t>0.626万亩</w:t>
      </w:r>
      <w:r>
        <w:rPr>
          <w:rFonts w:hint="eastAsia" w:cs="仿宋_GB2312"/>
          <w:color w:val="000000"/>
          <w:szCs w:val="32"/>
          <w:highlight w:val="none"/>
          <w:lang w:val="en-US" w:eastAsia="zh-CN"/>
        </w:rPr>
        <w:t>）</w:t>
      </w:r>
      <w:r>
        <w:rPr>
          <w:rFonts w:hint="default" w:ascii="仿宋_GB2312" w:hAnsi="仿宋_GB2312" w:eastAsia="仿宋_GB2312" w:cs="仿宋_GB2312"/>
          <w:color w:val="000000"/>
          <w:szCs w:val="32"/>
          <w:highlight w:val="none"/>
          <w:lang w:val="en-US" w:eastAsia="zh-CN"/>
        </w:rPr>
        <w:t>。</w:t>
      </w:r>
    </w:p>
    <w:p w14:paraId="317AC987">
      <w:pPr>
        <w:rPr>
          <w:rFonts w:hint="default" w:ascii="仿宋_GB2312" w:hAnsi="仿宋_GB2312" w:eastAsia="仿宋_GB2312" w:cs="仿宋_GB2312"/>
          <w:color w:val="000000"/>
          <w:szCs w:val="32"/>
          <w:highlight w:val="none"/>
          <w:lang w:val="en-US" w:eastAsia="zh-CN"/>
        </w:rPr>
      </w:pPr>
      <w:r>
        <w:rPr>
          <w:rFonts w:hint="default" w:ascii="仿宋_GB2312" w:hAnsi="仿宋_GB2312" w:eastAsia="仿宋_GB2312" w:cs="仿宋_GB2312"/>
          <w:color w:val="000000"/>
          <w:szCs w:val="32"/>
          <w:highlight w:val="none"/>
          <w:lang w:val="en-US" w:eastAsia="zh-CN"/>
        </w:rPr>
        <w:t>微水镇生态保护红线面积182</w:t>
      </w:r>
      <w:r>
        <w:rPr>
          <w:rFonts w:hint="eastAsia" w:cs="仿宋_GB2312"/>
          <w:color w:val="000000"/>
          <w:szCs w:val="32"/>
          <w:highlight w:val="none"/>
          <w:lang w:val="en-US" w:eastAsia="zh-CN"/>
        </w:rPr>
        <w:t>3.80</w:t>
      </w:r>
      <w:r>
        <w:rPr>
          <w:rFonts w:hint="default" w:ascii="仿宋_GB2312" w:hAnsi="仿宋_GB2312" w:eastAsia="仿宋_GB2312" w:cs="仿宋_GB2312"/>
          <w:color w:val="000000"/>
          <w:szCs w:val="32"/>
          <w:highlight w:val="none"/>
          <w:lang w:val="en-US" w:eastAsia="zh-CN"/>
        </w:rPr>
        <w:t>公顷；秀林镇生态保护红线面积92</w:t>
      </w:r>
      <w:r>
        <w:rPr>
          <w:rFonts w:hint="eastAsia" w:cs="仿宋_GB2312"/>
          <w:color w:val="000000"/>
          <w:szCs w:val="32"/>
          <w:highlight w:val="none"/>
          <w:lang w:val="en-US" w:eastAsia="zh-CN"/>
        </w:rPr>
        <w:t>3.64</w:t>
      </w:r>
      <w:r>
        <w:rPr>
          <w:rFonts w:hint="default" w:ascii="仿宋_GB2312" w:hAnsi="仿宋_GB2312" w:eastAsia="仿宋_GB2312" w:cs="仿宋_GB2312"/>
          <w:color w:val="000000"/>
          <w:szCs w:val="32"/>
          <w:highlight w:val="none"/>
          <w:lang w:val="en-US" w:eastAsia="zh-CN"/>
        </w:rPr>
        <w:t>公顷；北正乡生态保护红线面积13</w:t>
      </w:r>
      <w:r>
        <w:rPr>
          <w:rFonts w:hint="eastAsia" w:cs="仿宋_GB2312"/>
          <w:color w:val="000000"/>
          <w:szCs w:val="32"/>
          <w:highlight w:val="none"/>
          <w:lang w:val="en-US" w:eastAsia="zh-CN"/>
        </w:rPr>
        <w:t>2.53</w:t>
      </w:r>
      <w:r>
        <w:rPr>
          <w:rFonts w:hint="default" w:ascii="仿宋_GB2312" w:hAnsi="仿宋_GB2312" w:eastAsia="仿宋_GB2312" w:cs="仿宋_GB2312"/>
          <w:color w:val="000000"/>
          <w:szCs w:val="32"/>
          <w:highlight w:val="none"/>
          <w:lang w:val="en-US" w:eastAsia="zh-CN"/>
        </w:rPr>
        <w:t>公顷。</w:t>
      </w:r>
    </w:p>
    <w:p w14:paraId="502E2C7D">
      <w:pPr>
        <w:rPr>
          <w:rFonts w:hint="default" w:ascii="仿宋_GB2312" w:hAnsi="仿宋_GB2312" w:eastAsia="仿宋_GB2312" w:cs="仿宋_GB2312"/>
          <w:color w:val="000000"/>
          <w:szCs w:val="32"/>
          <w:highlight w:val="none"/>
          <w:lang w:val="en-US" w:eastAsia="zh-CN"/>
        </w:rPr>
      </w:pPr>
      <w:r>
        <w:rPr>
          <w:rFonts w:hint="default" w:ascii="仿宋_GB2312" w:hAnsi="仿宋_GB2312" w:eastAsia="仿宋_GB2312" w:cs="仿宋_GB2312"/>
          <w:color w:val="000000"/>
          <w:szCs w:val="32"/>
          <w:highlight w:val="none"/>
          <w:lang w:val="en-US" w:eastAsia="zh-CN"/>
        </w:rPr>
        <w:t>微水镇城镇开发边界规模不突破11.15平方千米</w:t>
      </w:r>
      <w:r>
        <w:rPr>
          <w:rFonts w:hint="eastAsia" w:cs="仿宋_GB2312"/>
          <w:color w:val="000000"/>
          <w:szCs w:val="32"/>
          <w:highlight w:val="none"/>
          <w:lang w:val="en-US" w:eastAsia="zh-CN"/>
        </w:rPr>
        <w:t>；</w:t>
      </w:r>
      <w:r>
        <w:rPr>
          <w:rFonts w:hint="default" w:ascii="仿宋_GB2312" w:hAnsi="仿宋_GB2312" w:eastAsia="仿宋_GB2312" w:cs="仿宋_GB2312"/>
          <w:color w:val="000000"/>
          <w:szCs w:val="32"/>
          <w:highlight w:val="none"/>
          <w:lang w:val="en-US" w:eastAsia="zh-CN"/>
        </w:rPr>
        <w:t>秀林镇城镇开发边界规模不突破3.06平方千米</w:t>
      </w:r>
      <w:r>
        <w:rPr>
          <w:rFonts w:hint="eastAsia" w:cs="仿宋_GB2312"/>
          <w:color w:val="000000"/>
          <w:szCs w:val="32"/>
          <w:highlight w:val="none"/>
          <w:lang w:val="en-US" w:eastAsia="zh-CN"/>
        </w:rPr>
        <w:t>；</w:t>
      </w:r>
      <w:r>
        <w:rPr>
          <w:rFonts w:hint="default" w:ascii="仿宋_GB2312" w:hAnsi="仿宋_GB2312" w:eastAsia="仿宋_GB2312" w:cs="仿宋_GB2312"/>
          <w:color w:val="000000"/>
          <w:szCs w:val="32"/>
          <w:highlight w:val="none"/>
          <w:lang w:val="en-US" w:eastAsia="zh-CN"/>
        </w:rPr>
        <w:t>北正乡城镇开发边界规模不突破3.21平方千米</w:t>
      </w:r>
      <w:r>
        <w:rPr>
          <w:rFonts w:hint="eastAsia" w:cs="仿宋_GB2312"/>
          <w:color w:val="000000"/>
          <w:szCs w:val="32"/>
          <w:highlight w:val="none"/>
          <w:lang w:val="en-US" w:eastAsia="zh-CN"/>
        </w:rPr>
        <w:t>。</w:t>
      </w:r>
    </w:p>
    <w:p w14:paraId="625A1619">
      <w:pPr>
        <w:rPr>
          <w:rFonts w:hint="default" w:ascii="黑体" w:hAnsi="黑体" w:eastAsia="黑体" w:cs="黑体"/>
          <w:lang w:val="en-US" w:eastAsia="zh-CN"/>
        </w:rPr>
      </w:pPr>
      <w:r>
        <w:rPr>
          <w:rFonts w:hint="default" w:ascii="黑体" w:hAnsi="黑体" w:eastAsia="黑体" w:cs="黑体"/>
          <w:lang w:val="en-US" w:eastAsia="zh-CN"/>
        </w:rPr>
        <w:t>六、落实主体功能区布局</w:t>
      </w:r>
    </w:p>
    <w:p w14:paraId="45FB7AF3">
      <w:pPr>
        <w:rPr>
          <w:rFonts w:hint="default" w:ascii="仿宋_GB2312" w:hAnsi="仿宋_GB2312" w:eastAsia="仿宋_GB2312" w:cs="仿宋_GB2312"/>
          <w:color w:val="000000"/>
          <w:szCs w:val="32"/>
          <w:highlight w:val="none"/>
          <w:lang w:val="en-US" w:eastAsia="zh-CN"/>
        </w:rPr>
      </w:pPr>
      <w:r>
        <w:rPr>
          <w:rFonts w:hint="default" w:ascii="仿宋_GB2312" w:hAnsi="仿宋_GB2312" w:eastAsia="仿宋_GB2312" w:cs="仿宋_GB2312"/>
          <w:color w:val="000000"/>
          <w:szCs w:val="32"/>
          <w:highlight w:val="none"/>
          <w:lang w:val="en-US" w:eastAsia="zh-CN"/>
        </w:rPr>
        <w:t>落实县级规划对微水镇、秀林镇、北正乡的主体功能定位为城市化地区。城市化地区应促进城镇集聚发展，补齐公共服务短板，提升综合服务功能，改善人居环境，提升人口承载能力。加强开发区建设，提升产业发展水平，提升建设用地产出效益。</w:t>
      </w:r>
    </w:p>
    <w:p w14:paraId="7CF1015F">
      <w:pPr>
        <w:rPr>
          <w:rFonts w:hint="default" w:ascii="黑体" w:hAnsi="黑体" w:eastAsia="黑体" w:cs="黑体"/>
          <w:lang w:val="en-US" w:eastAsia="zh-CN"/>
        </w:rPr>
      </w:pPr>
      <w:r>
        <w:rPr>
          <w:rFonts w:hint="default" w:ascii="黑体" w:hAnsi="黑体" w:eastAsia="黑体" w:cs="黑体"/>
          <w:lang w:val="en-US" w:eastAsia="zh-CN"/>
        </w:rPr>
        <w:t>七、国土空间开发保护总体格局</w:t>
      </w:r>
    </w:p>
    <w:p w14:paraId="5BA75F76">
      <w:pPr>
        <w:rPr>
          <w:rFonts w:hint="default" w:ascii="仿宋_GB2312" w:hAnsi="仿宋_GB2312" w:eastAsia="仿宋_GB2312" w:cs="仿宋_GB2312"/>
          <w:color w:val="000000"/>
          <w:szCs w:val="32"/>
          <w:highlight w:val="none"/>
          <w:lang w:val="en-US" w:eastAsia="zh-CN"/>
        </w:rPr>
      </w:pPr>
      <w:r>
        <w:rPr>
          <w:rFonts w:hint="default" w:ascii="仿宋_GB2312" w:hAnsi="仿宋_GB2312" w:eastAsia="仿宋_GB2312" w:cs="仿宋_GB2312"/>
          <w:color w:val="000000"/>
          <w:szCs w:val="32"/>
          <w:highlight w:val="none"/>
          <w:lang w:val="en-US" w:eastAsia="zh-CN"/>
        </w:rPr>
        <w:t>落实县级规划确定的开发保护总体格局</w:t>
      </w:r>
      <w:r>
        <w:rPr>
          <w:rFonts w:hint="default" w:ascii="仿宋_GB2312" w:hAnsi="仿宋_GB2312" w:eastAsia="仿宋_GB2312" w:cs="仿宋_GB2312"/>
          <w:color w:val="000000"/>
          <w:szCs w:val="32"/>
          <w:highlight w:val="none"/>
          <w:lang w:val="en-US" w:eastAsia="zh-CN"/>
        </w:rPr>
        <w:tab/>
      </w:r>
      <w:r>
        <w:rPr>
          <w:rFonts w:hint="default" w:ascii="仿宋_GB2312" w:hAnsi="仿宋_GB2312" w:eastAsia="仿宋_GB2312" w:cs="仿宋_GB2312"/>
          <w:color w:val="000000"/>
          <w:szCs w:val="32"/>
          <w:highlight w:val="none"/>
          <w:lang w:val="en-US" w:eastAsia="zh-CN"/>
        </w:rPr>
        <w:t>，片区内主要形成“一轴、一带、两区”的空间格局。</w:t>
      </w:r>
    </w:p>
    <w:p w14:paraId="4955FF16">
      <w:pPr>
        <w:rPr>
          <w:rFonts w:hint="default" w:ascii="仿宋_GB2312" w:hAnsi="仿宋_GB2312" w:eastAsia="仿宋_GB2312" w:cs="仿宋_GB2312"/>
          <w:color w:val="000000"/>
          <w:szCs w:val="32"/>
          <w:highlight w:val="none"/>
          <w:lang w:val="en-US" w:eastAsia="zh-CN"/>
        </w:rPr>
      </w:pPr>
      <w:r>
        <w:rPr>
          <w:rFonts w:hint="default" w:ascii="仿宋_GB2312" w:hAnsi="仿宋_GB2312" w:eastAsia="仿宋_GB2312" w:cs="仿宋_GB2312"/>
          <w:color w:val="000000"/>
          <w:szCs w:val="32"/>
          <w:highlight w:val="none"/>
          <w:lang w:val="en-US" w:eastAsia="zh-CN"/>
        </w:rPr>
        <w:t>“一轴”为依托区域交通走廊，增强与石家庄中心城区的交通设施建设，全面融入石家庄都市圈，深度挖掘特色农业，发展采摘、民宿、研学等众多文旅项目，带动区域发展。</w:t>
      </w:r>
    </w:p>
    <w:p w14:paraId="216AA50B">
      <w:pPr>
        <w:rPr>
          <w:rFonts w:hint="default" w:ascii="仿宋_GB2312" w:hAnsi="仿宋_GB2312" w:eastAsia="仿宋_GB2312" w:cs="仿宋_GB2312"/>
          <w:color w:val="000000"/>
          <w:szCs w:val="32"/>
          <w:highlight w:val="none"/>
          <w:lang w:val="en-US" w:eastAsia="zh-CN"/>
        </w:rPr>
      </w:pPr>
      <w:r>
        <w:rPr>
          <w:rFonts w:hint="default" w:ascii="仿宋_GB2312" w:hAnsi="仿宋_GB2312" w:eastAsia="仿宋_GB2312" w:cs="仿宋_GB2312"/>
          <w:color w:val="000000"/>
          <w:szCs w:val="32"/>
          <w:highlight w:val="none"/>
          <w:lang w:val="en-US" w:eastAsia="zh-CN"/>
        </w:rPr>
        <w:t>“一带”为由绵河、甘陶河、冶河共同形成绵蔓河生态带，重点加强生态带沿线水源保护区、湿地等重要水空间的生态保护与修复，致力于发展生态农业、休闲观光等农文化旅游产业，着力构建生态与经济发展的双赢局面。</w:t>
      </w:r>
    </w:p>
    <w:p w14:paraId="613C016E">
      <w:pPr>
        <w:rPr>
          <w:rFonts w:hint="default" w:ascii="仿宋_GB2312" w:hAnsi="仿宋_GB2312" w:eastAsia="仿宋_GB2312" w:cs="仿宋_GB2312"/>
          <w:color w:val="000000"/>
          <w:szCs w:val="32"/>
          <w:highlight w:val="none"/>
          <w:lang w:val="en-US" w:eastAsia="zh-CN"/>
        </w:rPr>
      </w:pPr>
      <w:r>
        <w:rPr>
          <w:rFonts w:hint="default" w:ascii="仿宋_GB2312" w:hAnsi="仿宋_GB2312" w:eastAsia="仿宋_GB2312" w:cs="仿宋_GB2312"/>
          <w:color w:val="000000"/>
          <w:szCs w:val="32"/>
          <w:highlight w:val="none"/>
          <w:lang w:val="en-US" w:eastAsia="zh-CN"/>
        </w:rPr>
        <w:t>“两区”为东部浅山生态功能区、西部农田集中保护区，针对生态功能区重点开展国土绿化、矿山综合治理等生态系统修复工程，改善水土流失，提高水源涵养能力，保护生物多样性。针对农田保护区板块提升耕地布局安全稳定，推动乡村振兴发展。</w:t>
      </w:r>
    </w:p>
    <w:p w14:paraId="2C7147EC">
      <w:pPr>
        <w:rPr>
          <w:rFonts w:hint="default" w:ascii="黑体" w:hAnsi="黑体" w:eastAsia="黑体" w:cs="黑体"/>
          <w:lang w:val="en-US" w:eastAsia="zh-CN"/>
        </w:rPr>
      </w:pPr>
      <w:r>
        <w:rPr>
          <w:rFonts w:hint="default" w:ascii="黑体" w:hAnsi="黑体" w:eastAsia="黑体" w:cs="黑体"/>
          <w:lang w:val="en-US" w:eastAsia="zh-CN"/>
        </w:rPr>
        <w:t>八、国土空间规划分区和功能结构</w:t>
      </w:r>
    </w:p>
    <w:p w14:paraId="1429139D">
      <w:pPr>
        <w:rPr>
          <w:rFonts w:hint="default" w:ascii="仿宋_GB2312" w:hAnsi="仿宋_GB2312" w:eastAsia="仿宋_GB2312" w:cs="仿宋_GB2312"/>
          <w:color w:val="000000"/>
          <w:szCs w:val="32"/>
          <w:highlight w:val="none"/>
          <w:lang w:val="en-US" w:eastAsia="zh-CN"/>
        </w:rPr>
      </w:pPr>
      <w:r>
        <w:rPr>
          <w:rFonts w:hint="default" w:ascii="仿宋_GB2312" w:hAnsi="仿宋_GB2312" w:eastAsia="仿宋_GB2312" w:cs="仿宋_GB2312"/>
          <w:color w:val="000000"/>
          <w:szCs w:val="32"/>
          <w:highlight w:val="none"/>
          <w:lang w:val="en-US" w:eastAsia="zh-CN"/>
        </w:rPr>
        <w:t>落实和深化主体功能区战略，充分衔接三条控制线，将</w:t>
      </w:r>
      <w:r>
        <w:rPr>
          <w:rFonts w:hint="eastAsia" w:cs="仿宋_GB2312"/>
          <w:color w:val="000000"/>
          <w:szCs w:val="32"/>
          <w:highlight w:val="none"/>
          <w:lang w:val="en-US" w:eastAsia="zh-CN"/>
        </w:rPr>
        <w:t>片区</w:t>
      </w:r>
      <w:r>
        <w:rPr>
          <w:rFonts w:hint="default" w:ascii="仿宋_GB2312" w:hAnsi="仿宋_GB2312" w:eastAsia="仿宋_GB2312" w:cs="仿宋_GB2312"/>
          <w:color w:val="000000"/>
          <w:szCs w:val="32"/>
          <w:highlight w:val="none"/>
          <w:lang w:val="en-US" w:eastAsia="zh-CN"/>
        </w:rPr>
        <w:t>划分为生态保护区、生态控制区、农田保护区、城镇发展区、乡村发展区、矿产能源发展区6类一级规划分区。严格落实县级规划确定的各类约束性指标，以资源利用为主导方式，遵循城乡统筹、地上地下空间统筹的基本原则，统筹安排各类用地。</w:t>
      </w:r>
    </w:p>
    <w:p w14:paraId="6CCD3E36">
      <w:pPr>
        <w:rPr>
          <w:rFonts w:hint="default" w:ascii="黑体" w:hAnsi="黑体" w:eastAsia="黑体" w:cs="黑体"/>
          <w:lang w:val="en-US" w:eastAsia="zh-CN"/>
        </w:rPr>
      </w:pPr>
      <w:r>
        <w:rPr>
          <w:rFonts w:hint="default" w:ascii="黑体" w:hAnsi="黑体" w:eastAsia="黑体" w:cs="黑体"/>
          <w:lang w:val="en-US" w:eastAsia="zh-CN"/>
        </w:rPr>
        <w:t>九、优化城乡布局</w:t>
      </w:r>
    </w:p>
    <w:p w14:paraId="1C533804">
      <w:pPr>
        <w:rPr>
          <w:rFonts w:hint="default" w:ascii="仿宋_GB2312" w:hAnsi="仿宋_GB2312" w:eastAsia="仿宋_GB2312" w:cs="仿宋_GB2312"/>
          <w:color w:val="000000"/>
          <w:szCs w:val="32"/>
          <w:highlight w:val="none"/>
          <w:lang w:val="en-US" w:eastAsia="zh-CN"/>
        </w:rPr>
      </w:pPr>
      <w:r>
        <w:rPr>
          <w:rFonts w:hint="default" w:ascii="仿宋_GB2312" w:hAnsi="仿宋_GB2312" w:eastAsia="仿宋_GB2312" w:cs="仿宋_GB2312"/>
          <w:color w:val="000000"/>
          <w:szCs w:val="32"/>
          <w:highlight w:val="none"/>
          <w:lang w:val="en-US" w:eastAsia="zh-CN"/>
        </w:rPr>
        <w:t>落实县级规划确定的镇村体系，做强做优中心城区，提升中心村，片区内形成“中心城区-中心村-基层村”三级镇村体系。</w:t>
      </w:r>
    </w:p>
    <w:p w14:paraId="331FCAF7">
      <w:pPr>
        <w:rPr>
          <w:rFonts w:hint="default" w:ascii="仿宋_GB2312" w:hAnsi="仿宋_GB2312" w:eastAsia="仿宋_GB2312" w:cs="仿宋_GB2312"/>
          <w:color w:val="000000"/>
          <w:szCs w:val="32"/>
          <w:highlight w:val="none"/>
          <w:lang w:val="en-US" w:eastAsia="zh-CN"/>
        </w:rPr>
      </w:pPr>
      <w:r>
        <w:rPr>
          <w:rFonts w:hint="default" w:ascii="仿宋_GB2312" w:hAnsi="仿宋_GB2312" w:eastAsia="仿宋_GB2312" w:cs="仿宋_GB2312"/>
          <w:color w:val="000000"/>
          <w:szCs w:val="32"/>
          <w:highlight w:val="none"/>
          <w:lang w:val="en-US" w:eastAsia="zh-CN"/>
        </w:rPr>
        <w:t>提升中心村周边联动能力。提升中心村对周边村庄的辐射带动能力。规划村级公共服务设施优先向中心村配置，预留服务设施用地。重点补齐教育、医疗、文化、体育等基本服务短板，适当提升设施配置标准，培育村庄特色产业，加强对周边乡村服务带动能力。</w:t>
      </w:r>
    </w:p>
    <w:p w14:paraId="041FB2CB">
      <w:pPr>
        <w:rPr>
          <w:rFonts w:hint="default" w:ascii="仿宋_GB2312" w:hAnsi="仿宋_GB2312" w:eastAsia="仿宋_GB2312" w:cs="仿宋_GB2312"/>
          <w:color w:val="000000"/>
          <w:szCs w:val="32"/>
          <w:highlight w:val="none"/>
          <w:lang w:val="en-US" w:eastAsia="zh-CN"/>
        </w:rPr>
      </w:pPr>
      <w:r>
        <w:rPr>
          <w:rFonts w:hint="default" w:ascii="仿宋_GB2312" w:hAnsi="仿宋_GB2312" w:eastAsia="仿宋_GB2312" w:cs="仿宋_GB2312"/>
          <w:color w:val="000000"/>
          <w:szCs w:val="32"/>
          <w:highlight w:val="none"/>
          <w:lang w:val="en-US" w:eastAsia="zh-CN"/>
        </w:rPr>
        <w:t>完善基层村基本服务水平。基层村作为基层的农业生产组织单元和社区治理单元，应重点完善提升村庄环卫、交通等基础设施和教育、医疗卫生等公共服务设施，加强与中心村、镇政府驻地等的联通，因地制宜推进村庄特色发展。</w:t>
      </w:r>
    </w:p>
    <w:p w14:paraId="3B166388">
      <w:pPr>
        <w:rPr>
          <w:rFonts w:hint="default" w:ascii="黑体" w:hAnsi="黑体" w:eastAsia="黑体" w:cs="黑体"/>
          <w:lang w:val="en-US" w:eastAsia="zh-CN"/>
        </w:rPr>
      </w:pPr>
      <w:r>
        <w:rPr>
          <w:rFonts w:hint="default" w:ascii="黑体" w:hAnsi="黑体" w:eastAsia="黑体" w:cs="黑体"/>
          <w:lang w:val="en-US" w:eastAsia="zh-CN"/>
        </w:rPr>
        <w:t>十、历史文化保护和风貌塑造</w:t>
      </w:r>
    </w:p>
    <w:p w14:paraId="78563E1A">
      <w:pPr>
        <w:rPr>
          <w:rFonts w:hint="default" w:ascii="仿宋_GB2312" w:hAnsi="仿宋_GB2312" w:eastAsia="仿宋_GB2312" w:cs="仿宋_GB2312"/>
          <w:color w:val="000000"/>
          <w:szCs w:val="32"/>
          <w:highlight w:val="none"/>
          <w:lang w:val="en-US" w:eastAsia="zh-CN"/>
        </w:rPr>
      </w:pPr>
      <w:r>
        <w:rPr>
          <w:rFonts w:hint="default" w:ascii="仿宋_GB2312" w:hAnsi="仿宋_GB2312" w:eastAsia="仿宋_GB2312" w:cs="仿宋_GB2312"/>
          <w:color w:val="000000"/>
          <w:szCs w:val="32"/>
          <w:highlight w:val="none"/>
          <w:lang w:val="en-US" w:eastAsia="zh-CN"/>
        </w:rPr>
        <w:t>落实县级规划确定全域、全要素的保护体系，片区重点加强对文物保护单位、传统村落和非物质文化遗产等资源的保护，系统优化历史文化保护利用传承体系。</w:t>
      </w:r>
    </w:p>
    <w:p w14:paraId="6C29C59A">
      <w:pPr>
        <w:rPr>
          <w:rFonts w:hint="default" w:ascii="仿宋_GB2312" w:hAnsi="仿宋_GB2312" w:eastAsia="仿宋_GB2312" w:cs="仿宋_GB2312"/>
          <w:color w:val="000000"/>
          <w:szCs w:val="32"/>
          <w:highlight w:val="none"/>
          <w:lang w:val="en-US" w:eastAsia="zh-CN"/>
        </w:rPr>
      </w:pPr>
      <w:r>
        <w:rPr>
          <w:rFonts w:hint="default" w:ascii="仿宋_GB2312" w:hAnsi="仿宋_GB2312" w:eastAsia="仿宋_GB2312" w:cs="仿宋_GB2312"/>
          <w:color w:val="000000"/>
          <w:szCs w:val="32"/>
          <w:highlight w:val="none"/>
          <w:lang w:val="en-US" w:eastAsia="zh-CN"/>
        </w:rPr>
        <w:t>尊重山地、浅丘地形地貌特征，发挥太行山、冶河、甘陶河等自然山水景观价值，统筹历史人文要素，彰显古镇古村等传统风貌特色，突出地域特色，片区划分古村落风貌区、山地风貌区、浅丘风貌区、山前滨水风貌区等风貌片区，对不同风貌区的城乡空间形态、自然廊道、建筑风貌等提出引导管控要求。</w:t>
      </w:r>
    </w:p>
    <w:p w14:paraId="357DF3C6">
      <w:pPr>
        <w:rPr>
          <w:rFonts w:hint="default" w:ascii="黑体" w:hAnsi="黑体" w:eastAsia="黑体" w:cs="黑体"/>
          <w:lang w:val="en-US" w:eastAsia="zh-CN"/>
        </w:rPr>
      </w:pPr>
      <w:r>
        <w:rPr>
          <w:rFonts w:hint="default" w:ascii="黑体" w:hAnsi="黑体" w:eastAsia="黑体" w:cs="黑体"/>
          <w:lang w:val="en-US" w:eastAsia="zh-CN"/>
        </w:rPr>
        <w:t>十</w:t>
      </w:r>
      <w:r>
        <w:rPr>
          <w:rFonts w:hint="eastAsia" w:ascii="黑体" w:hAnsi="黑体" w:eastAsia="黑体" w:cs="黑体"/>
          <w:lang w:val="en-US" w:eastAsia="zh-CN"/>
        </w:rPr>
        <w:t>一</w:t>
      </w:r>
      <w:r>
        <w:rPr>
          <w:rFonts w:hint="default" w:ascii="黑体" w:hAnsi="黑体" w:eastAsia="黑体" w:cs="黑体"/>
          <w:lang w:val="en-US" w:eastAsia="zh-CN"/>
        </w:rPr>
        <w:t>、基础设施和综合防灾</w:t>
      </w:r>
    </w:p>
    <w:p w14:paraId="73AF22C6">
      <w:pPr>
        <w:rPr>
          <w:rFonts w:hint="default" w:ascii="仿宋_GB2312" w:hAnsi="仿宋_GB2312" w:eastAsia="仿宋_GB2312" w:cs="仿宋_GB2312"/>
          <w:color w:val="000000"/>
          <w:szCs w:val="32"/>
          <w:highlight w:val="none"/>
          <w:lang w:val="en-US" w:eastAsia="zh-CN"/>
        </w:rPr>
      </w:pPr>
      <w:r>
        <w:rPr>
          <w:rFonts w:hint="default" w:ascii="仿宋_GB2312" w:hAnsi="仿宋_GB2312" w:eastAsia="仿宋_GB2312" w:cs="仿宋_GB2312"/>
          <w:color w:val="000000"/>
          <w:szCs w:val="32"/>
          <w:highlight w:val="none"/>
          <w:lang w:val="en-US" w:eastAsia="zh-CN"/>
        </w:rPr>
        <w:t>落实县级规划确定的提升干线公路工程。改造和提升农村公路。畅通农村公路微循环系统，进一步提升农村基础设施服务水平。结合产业落位、旅游开发等发展诉求，充分保障交通配套设施建设条件。</w:t>
      </w:r>
    </w:p>
    <w:p w14:paraId="08DA520D">
      <w:pPr>
        <w:rPr>
          <w:rFonts w:hint="default" w:ascii="仿宋_GB2312" w:hAnsi="仿宋_GB2312" w:eastAsia="仿宋_GB2312" w:cs="仿宋_GB2312"/>
          <w:color w:val="000000"/>
          <w:szCs w:val="32"/>
          <w:highlight w:val="none"/>
          <w:lang w:val="en-US" w:eastAsia="zh-CN"/>
        </w:rPr>
      </w:pPr>
      <w:r>
        <w:rPr>
          <w:rFonts w:hint="default" w:ascii="仿宋_GB2312" w:hAnsi="仿宋_GB2312" w:eastAsia="仿宋_GB2312" w:cs="仿宋_GB2312"/>
          <w:color w:val="000000"/>
          <w:szCs w:val="32"/>
          <w:highlight w:val="none"/>
          <w:lang w:val="en-US" w:eastAsia="zh-CN"/>
        </w:rPr>
        <w:t>健全城乡供水体系，优化供水格局，完善供水管网，开源与节流并举，提高水资源利用效率，全面建设节水型社会。优化调整能源结构，加强能源基础设施建设，着力提升法治化、信息化、智能化管理水平，建设清洁低碳、安全高效、开放融合的现代能源体系。</w:t>
      </w:r>
    </w:p>
    <w:p w14:paraId="024A52E8">
      <w:pPr>
        <w:rPr>
          <w:rFonts w:hint="default" w:ascii="仿宋_GB2312" w:hAnsi="仿宋_GB2312" w:eastAsia="仿宋_GB2312" w:cs="仿宋_GB2312"/>
          <w:color w:val="000000"/>
          <w:szCs w:val="32"/>
          <w:highlight w:val="none"/>
          <w:lang w:val="en-US" w:eastAsia="zh-CN"/>
        </w:rPr>
      </w:pPr>
      <w:r>
        <w:rPr>
          <w:rFonts w:hint="default" w:ascii="仿宋_GB2312" w:hAnsi="仿宋_GB2312" w:eastAsia="仿宋_GB2312" w:cs="仿宋_GB2312"/>
          <w:color w:val="000000"/>
          <w:szCs w:val="32"/>
          <w:highlight w:val="none"/>
          <w:lang w:val="en-US" w:eastAsia="zh-CN"/>
        </w:rPr>
        <w:t>坚持以防为主、防抗救相结合，加强全县各类灾害风险监测预警能力建设，提高城乡基础设施韧性，建设和完善各类防灾减灾基础设施与应急服务设施，建立健全面向多种灾害风险的综合防灾体系。</w:t>
      </w:r>
    </w:p>
    <w:p w14:paraId="23EFBEEE">
      <w:pPr>
        <w:rPr>
          <w:rFonts w:hint="default" w:ascii="黑体" w:hAnsi="黑体" w:eastAsia="黑体" w:cs="黑体"/>
          <w:lang w:val="en-US" w:eastAsia="zh-CN"/>
        </w:rPr>
      </w:pPr>
      <w:r>
        <w:rPr>
          <w:rFonts w:hint="default" w:ascii="黑体" w:hAnsi="黑体" w:eastAsia="黑体" w:cs="黑体"/>
          <w:lang w:val="en-US" w:eastAsia="zh-CN"/>
        </w:rPr>
        <w:t>十</w:t>
      </w:r>
      <w:r>
        <w:rPr>
          <w:rFonts w:hint="eastAsia" w:ascii="黑体" w:hAnsi="黑体" w:eastAsia="黑体" w:cs="黑体"/>
          <w:lang w:val="en-US" w:eastAsia="zh-CN"/>
        </w:rPr>
        <w:t>二</w:t>
      </w:r>
      <w:r>
        <w:rPr>
          <w:rFonts w:hint="default" w:ascii="黑体" w:hAnsi="黑体" w:eastAsia="黑体" w:cs="黑体"/>
          <w:lang w:val="en-US" w:eastAsia="zh-CN"/>
        </w:rPr>
        <w:t>、规划传导和实施保障</w:t>
      </w:r>
    </w:p>
    <w:p w14:paraId="59DA70A2">
      <w:pPr>
        <w:rPr>
          <w:rFonts w:hint="default" w:ascii="仿宋_GB2312" w:hAnsi="仿宋_GB2312" w:eastAsia="仿宋_GB2312" w:cs="仿宋_GB2312"/>
          <w:color w:val="000000"/>
          <w:szCs w:val="32"/>
          <w:highlight w:val="none"/>
          <w:lang w:val="en-US" w:eastAsia="zh-CN"/>
        </w:rPr>
      </w:pPr>
      <w:r>
        <w:rPr>
          <w:rFonts w:hint="default" w:ascii="仿宋_GB2312" w:hAnsi="仿宋_GB2312" w:eastAsia="仿宋_GB2312" w:cs="仿宋_GB2312"/>
          <w:color w:val="000000"/>
          <w:szCs w:val="32"/>
          <w:highlight w:val="none"/>
          <w:lang w:val="en-US" w:eastAsia="zh-CN"/>
        </w:rPr>
        <w:t>对上位规划的落实。落实县级规划确定对</w:t>
      </w:r>
      <w:r>
        <w:rPr>
          <w:rFonts w:hint="eastAsia" w:cs="仿宋_GB2312"/>
          <w:color w:val="000000"/>
          <w:szCs w:val="32"/>
          <w:highlight w:val="none"/>
          <w:lang w:val="en-US" w:eastAsia="zh-CN"/>
        </w:rPr>
        <w:t>微水镇、秀林镇、北正乡</w:t>
      </w:r>
      <w:r>
        <w:rPr>
          <w:rFonts w:hint="default" w:ascii="仿宋_GB2312" w:hAnsi="仿宋_GB2312" w:eastAsia="仿宋_GB2312" w:cs="仿宋_GB2312"/>
          <w:color w:val="000000"/>
          <w:szCs w:val="32"/>
          <w:highlight w:val="none"/>
          <w:lang w:val="en-US" w:eastAsia="zh-CN"/>
        </w:rPr>
        <w:t>的职能定位、主体功能区、耕地保护目标、永久基本农田保护面积等约束性指标，以及国土空间格局、空间用途管制和重大基础设施等内容。结合</w:t>
      </w:r>
      <w:r>
        <w:rPr>
          <w:rFonts w:hint="eastAsia" w:cs="仿宋_GB2312"/>
          <w:color w:val="000000"/>
          <w:szCs w:val="32"/>
          <w:highlight w:val="none"/>
          <w:lang w:val="en-US" w:eastAsia="zh-CN"/>
        </w:rPr>
        <w:t>井陉</w:t>
      </w:r>
      <w:r>
        <w:rPr>
          <w:rFonts w:hint="default" w:ascii="仿宋_GB2312" w:hAnsi="仿宋_GB2312" w:eastAsia="仿宋_GB2312" w:cs="仿宋_GB2312"/>
          <w:color w:val="000000"/>
          <w:szCs w:val="32"/>
          <w:highlight w:val="none"/>
          <w:lang w:val="en-US" w:eastAsia="zh-CN"/>
        </w:rPr>
        <w:t>县国土空间详细规划编制单元成果，确定</w:t>
      </w:r>
      <w:r>
        <w:rPr>
          <w:rFonts w:hint="eastAsia" w:cs="仿宋_GB2312"/>
          <w:color w:val="000000"/>
          <w:szCs w:val="32"/>
          <w:highlight w:val="none"/>
          <w:lang w:val="en-US" w:eastAsia="zh-CN"/>
        </w:rPr>
        <w:t>片区</w:t>
      </w:r>
      <w:r>
        <w:rPr>
          <w:rFonts w:hint="default" w:ascii="仿宋_GB2312" w:hAnsi="仿宋_GB2312" w:eastAsia="仿宋_GB2312" w:cs="仿宋_GB2312"/>
          <w:color w:val="000000"/>
          <w:szCs w:val="32"/>
          <w:highlight w:val="none"/>
          <w:lang w:val="en-US" w:eastAsia="zh-CN"/>
        </w:rPr>
        <w:t>详细规划单元。</w:t>
      </w:r>
    </w:p>
    <w:p w14:paraId="15505960">
      <w:pPr>
        <w:rPr>
          <w:rFonts w:hint="default" w:ascii="仿宋_GB2312" w:hAnsi="仿宋_GB2312" w:eastAsia="仿宋_GB2312" w:cs="仿宋_GB2312"/>
          <w:color w:val="000000"/>
          <w:szCs w:val="32"/>
          <w:highlight w:val="none"/>
          <w:lang w:val="en-US" w:eastAsia="zh-CN"/>
        </w:rPr>
      </w:pPr>
      <w:r>
        <w:rPr>
          <w:rFonts w:hint="default" w:ascii="仿宋_GB2312" w:hAnsi="仿宋_GB2312" w:eastAsia="仿宋_GB2312" w:cs="仿宋_GB2312"/>
          <w:color w:val="000000"/>
          <w:szCs w:val="32"/>
          <w:highlight w:val="none"/>
          <w:lang w:val="en-US" w:eastAsia="zh-CN"/>
        </w:rPr>
        <w:t>村庄规划编制单元划分。统筹推进辖区内村庄规划编制，确定村庄规划编制单元。位于</w:t>
      </w:r>
      <w:r>
        <w:rPr>
          <w:rFonts w:hint="eastAsia" w:cs="仿宋_GB2312"/>
          <w:color w:val="000000"/>
          <w:szCs w:val="32"/>
          <w:highlight w:val="none"/>
          <w:lang w:val="en-US" w:eastAsia="zh-CN"/>
        </w:rPr>
        <w:t>中心城区</w:t>
      </w:r>
      <w:r>
        <w:rPr>
          <w:rFonts w:hint="default" w:ascii="仿宋_GB2312" w:hAnsi="仿宋_GB2312" w:eastAsia="仿宋_GB2312" w:cs="仿宋_GB2312"/>
          <w:color w:val="000000"/>
          <w:szCs w:val="32"/>
          <w:highlight w:val="none"/>
          <w:lang w:val="en-US" w:eastAsia="zh-CN"/>
        </w:rPr>
        <w:t>的村庄，纳入</w:t>
      </w:r>
      <w:r>
        <w:rPr>
          <w:rFonts w:hint="eastAsia" w:cs="仿宋_GB2312"/>
          <w:color w:val="000000"/>
          <w:szCs w:val="32"/>
          <w:highlight w:val="none"/>
          <w:lang w:val="en-US" w:eastAsia="zh-CN"/>
        </w:rPr>
        <w:t>城区</w:t>
      </w:r>
      <w:r>
        <w:rPr>
          <w:rFonts w:hint="default" w:ascii="仿宋_GB2312" w:hAnsi="仿宋_GB2312" w:eastAsia="仿宋_GB2312" w:cs="仿宋_GB2312"/>
          <w:color w:val="000000"/>
          <w:szCs w:val="32"/>
          <w:highlight w:val="none"/>
          <w:lang w:val="en-US" w:eastAsia="zh-CN"/>
        </w:rPr>
        <w:t>规划统筹编制；中心城区</w:t>
      </w:r>
      <w:r>
        <w:rPr>
          <w:rFonts w:hint="eastAsia" w:cs="仿宋_GB2312"/>
          <w:color w:val="000000"/>
          <w:szCs w:val="32"/>
          <w:highlight w:val="none"/>
          <w:lang w:val="en-US" w:eastAsia="zh-CN"/>
        </w:rPr>
        <w:t>以外</w:t>
      </w:r>
      <w:r>
        <w:rPr>
          <w:rFonts w:hint="default" w:ascii="仿宋_GB2312" w:hAnsi="仿宋_GB2312" w:eastAsia="仿宋_GB2312" w:cs="仿宋_GB2312"/>
          <w:color w:val="000000"/>
          <w:szCs w:val="32"/>
          <w:highlight w:val="none"/>
          <w:lang w:val="en-US" w:eastAsia="zh-CN"/>
        </w:rPr>
        <w:t>的</w:t>
      </w:r>
      <w:r>
        <w:rPr>
          <w:rFonts w:hint="eastAsia" w:cs="仿宋_GB2312"/>
          <w:color w:val="000000"/>
          <w:szCs w:val="32"/>
          <w:highlight w:val="none"/>
          <w:lang w:val="en-US" w:eastAsia="zh-CN"/>
        </w:rPr>
        <w:t>村庄可</w:t>
      </w:r>
      <w:r>
        <w:rPr>
          <w:rFonts w:hint="default" w:ascii="仿宋_GB2312" w:hAnsi="仿宋_GB2312" w:eastAsia="仿宋_GB2312" w:cs="仿宋_GB2312"/>
          <w:color w:val="000000"/>
          <w:szCs w:val="32"/>
          <w:highlight w:val="none"/>
          <w:lang w:val="en-US" w:eastAsia="zh-CN"/>
        </w:rPr>
        <w:t>纳入“通则式”村庄规划管理</w:t>
      </w:r>
      <w:r>
        <w:rPr>
          <w:rFonts w:hint="eastAsia" w:cs="仿宋_GB2312"/>
          <w:color w:val="000000"/>
          <w:szCs w:val="32"/>
          <w:highlight w:val="none"/>
          <w:lang w:val="en-US" w:eastAsia="zh-CN"/>
        </w:rPr>
        <w:t>，或</w:t>
      </w:r>
      <w:r>
        <w:rPr>
          <w:rFonts w:hint="default" w:ascii="仿宋_GB2312" w:hAnsi="仿宋_GB2312" w:eastAsia="仿宋_GB2312" w:cs="仿宋_GB2312"/>
          <w:color w:val="000000"/>
          <w:szCs w:val="32"/>
          <w:highlight w:val="none"/>
          <w:lang w:val="en-US" w:eastAsia="zh-CN"/>
        </w:rPr>
        <w:t>单独编制村庄规划</w:t>
      </w:r>
      <w:r>
        <w:rPr>
          <w:rFonts w:hint="eastAsia" w:cs="仿宋_GB2312"/>
          <w:color w:val="000000"/>
          <w:szCs w:val="32"/>
          <w:highlight w:val="none"/>
          <w:lang w:val="en-US" w:eastAsia="zh-CN"/>
        </w:rPr>
        <w:t>，</w:t>
      </w:r>
      <w:r>
        <w:rPr>
          <w:rFonts w:hint="default" w:ascii="仿宋_GB2312" w:hAnsi="仿宋_GB2312" w:eastAsia="仿宋_GB2312" w:cs="仿宋_GB2312"/>
          <w:color w:val="000000"/>
          <w:szCs w:val="32"/>
          <w:highlight w:val="none"/>
          <w:lang w:val="en-US" w:eastAsia="zh-CN"/>
        </w:rPr>
        <w:t>将耕地和永久基本农田等底线管控的指标规模和空间布局传导至村庄。</w:t>
      </w:r>
    </w:p>
    <w:p w14:paraId="3F0DD435">
      <w:pPr>
        <w:rPr>
          <w:rFonts w:hint="default" w:ascii="仿宋_GB2312" w:hAnsi="仿宋_GB2312" w:eastAsia="仿宋_GB2312" w:cs="仿宋_GB2312"/>
          <w:color w:val="000000"/>
          <w:szCs w:val="32"/>
          <w:highlight w:val="none"/>
          <w:lang w:val="en-US" w:eastAsia="zh-CN"/>
        </w:rPr>
      </w:pPr>
      <w:bookmarkStart w:id="0" w:name="_GoBack"/>
      <w:bookmarkEnd w:id="0"/>
      <w:r>
        <w:rPr>
          <w:rFonts w:hint="default" w:ascii="仿宋_GB2312" w:hAnsi="仿宋_GB2312" w:eastAsia="仿宋_GB2312" w:cs="仿宋_GB2312"/>
          <w:color w:val="000000"/>
          <w:szCs w:val="32"/>
          <w:highlight w:val="none"/>
          <w:lang w:val="en-US" w:eastAsia="zh-CN"/>
        </w:rPr>
        <w:t>统一国土空间用途管制。严格依据国土空间规划，实施国土空间用途管制。建立全域覆盖、协调统一的用途管制规则，依据国土空间规划确定的分区和用途，统筹全域、全类型、多层次自然资源要素，制定不同功能空间、不同用途的转换规则，明确转换方向、条件和管理要求，加强城镇乡村空间的统一用途管制。</w:t>
      </w:r>
    </w:p>
    <w:p w14:paraId="66057C70">
      <w:pPr>
        <w:pStyle w:val="36"/>
        <w:bidi w:val="0"/>
        <w:rPr>
          <w:rFonts w:hint="default"/>
          <w:lang w:val="en-US" w:eastAsia="zh-CN"/>
        </w:rPr>
      </w:pPr>
      <w:r>
        <w:rPr>
          <w:rFonts w:hint="default"/>
          <w:lang w:val="en-US" w:eastAsia="zh-CN"/>
        </w:rPr>
        <w:br w:type="column"/>
      </w:r>
      <w:r>
        <w:rPr>
          <w:rFonts w:hint="default"/>
          <w:lang w:val="en-US" w:eastAsia="zh-CN"/>
        </w:rPr>
        <w:drawing>
          <wp:inline distT="0" distB="0" distL="114300" distR="114300">
            <wp:extent cx="5268595" cy="3721100"/>
            <wp:effectExtent l="0" t="0" r="8255" b="12700"/>
            <wp:docPr id="1" name="图片 1" descr="130121井陉县井陉片区03国土空间控制线规划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30121井陉县井陉片区03国土空间控制线规划图"/>
                    <pic:cNvPicPr>
                      <a:picLocks noChangeAspect="1"/>
                    </pic:cNvPicPr>
                  </pic:nvPicPr>
                  <pic:blipFill>
                    <a:blip r:embed="rId6"/>
                    <a:stretch>
                      <a:fillRect/>
                    </a:stretch>
                  </pic:blipFill>
                  <pic:spPr>
                    <a:xfrm>
                      <a:off x="0" y="0"/>
                      <a:ext cx="5268595" cy="3721100"/>
                    </a:xfrm>
                    <a:prstGeom prst="rect">
                      <a:avLst/>
                    </a:prstGeom>
                  </pic:spPr>
                </pic:pic>
              </a:graphicData>
            </a:graphic>
          </wp:inline>
        </w:drawing>
      </w:r>
    </w:p>
    <w:p w14:paraId="61577467">
      <w:pPr>
        <w:pStyle w:val="36"/>
        <w:bidi w:val="0"/>
        <w:rPr>
          <w:rFonts w:hint="default"/>
          <w:lang w:val="en-US" w:eastAsia="zh-CN"/>
        </w:rPr>
      </w:pPr>
      <w:r>
        <w:rPr>
          <w:rFonts w:hint="default"/>
          <w:lang w:val="en-US" w:eastAsia="zh-CN"/>
        </w:rPr>
        <w:drawing>
          <wp:inline distT="0" distB="0" distL="114300" distR="114300">
            <wp:extent cx="5268595" cy="3721100"/>
            <wp:effectExtent l="0" t="0" r="8255" b="12700"/>
            <wp:docPr id="2" name="图片 2" descr="130121井陉县井陉片区02国土空间总体格局规划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130121井陉县井陉片区02国土空间总体格局规划图"/>
                    <pic:cNvPicPr>
                      <a:picLocks noChangeAspect="1"/>
                    </pic:cNvPicPr>
                  </pic:nvPicPr>
                  <pic:blipFill>
                    <a:blip r:embed="rId7"/>
                    <a:stretch>
                      <a:fillRect/>
                    </a:stretch>
                  </pic:blipFill>
                  <pic:spPr>
                    <a:xfrm>
                      <a:off x="0" y="0"/>
                      <a:ext cx="5268595" cy="3721100"/>
                    </a:xfrm>
                    <a:prstGeom prst="rect">
                      <a:avLst/>
                    </a:prstGeom>
                  </pic:spPr>
                </pic:pic>
              </a:graphicData>
            </a:graphic>
          </wp:inline>
        </w:drawing>
      </w:r>
    </w:p>
    <w:p w14:paraId="61D24633">
      <w:pPr>
        <w:pStyle w:val="36"/>
        <w:bidi w:val="0"/>
        <w:rPr>
          <w:rFonts w:hint="default"/>
          <w:lang w:val="en-US" w:eastAsia="zh-CN"/>
        </w:rPr>
      </w:pPr>
      <w:r>
        <w:rPr>
          <w:rFonts w:hint="default"/>
          <w:lang w:val="en-US" w:eastAsia="zh-CN"/>
        </w:rPr>
        <w:drawing>
          <wp:inline distT="0" distB="0" distL="114300" distR="114300">
            <wp:extent cx="5268595" cy="3721100"/>
            <wp:effectExtent l="0" t="0" r="8255" b="12700"/>
            <wp:docPr id="3" name="图片 3" descr="130121井陉县井陉片区10村庄布点规划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130121井陉县井陉片区10村庄布点规划图"/>
                    <pic:cNvPicPr>
                      <a:picLocks noChangeAspect="1"/>
                    </pic:cNvPicPr>
                  </pic:nvPicPr>
                  <pic:blipFill>
                    <a:blip r:embed="rId8"/>
                    <a:stretch>
                      <a:fillRect/>
                    </a:stretch>
                  </pic:blipFill>
                  <pic:spPr>
                    <a:xfrm>
                      <a:off x="0" y="0"/>
                      <a:ext cx="5268595" cy="3721100"/>
                    </a:xfrm>
                    <a:prstGeom prst="rect">
                      <a:avLst/>
                    </a:prstGeom>
                  </pic:spPr>
                </pic:pic>
              </a:graphicData>
            </a:graphic>
          </wp:inline>
        </w:drawing>
      </w:r>
    </w:p>
    <w:p w14:paraId="406AFE1D">
      <w:pPr>
        <w:pStyle w:val="36"/>
        <w:bidi w:val="0"/>
        <w:rPr>
          <w:rFonts w:hint="default"/>
          <w:lang w:val="en-US" w:eastAsia="zh-CN"/>
        </w:rPr>
      </w:pPr>
      <w:r>
        <w:rPr>
          <w:rFonts w:hint="default"/>
          <w:lang w:val="en-US" w:eastAsia="zh-CN"/>
        </w:rPr>
        <w:drawing>
          <wp:inline distT="0" distB="0" distL="114300" distR="114300">
            <wp:extent cx="5267960" cy="3721735"/>
            <wp:effectExtent l="0" t="0" r="8890" b="12065"/>
            <wp:docPr id="4" name="图片 4" descr="130121井陉县井陉片区15国土空间规划分区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30121井陉县井陉片区15国土空间规划分区图"/>
                    <pic:cNvPicPr>
                      <a:picLocks noChangeAspect="1"/>
                    </pic:cNvPicPr>
                  </pic:nvPicPr>
                  <pic:blipFill>
                    <a:blip r:embed="rId9"/>
                    <a:stretch>
                      <a:fillRect/>
                    </a:stretch>
                  </pic:blipFill>
                  <pic:spPr>
                    <a:xfrm>
                      <a:off x="0" y="0"/>
                      <a:ext cx="5267960" cy="3721735"/>
                    </a:xfrm>
                    <a:prstGeom prst="rect">
                      <a:avLst/>
                    </a:prstGeom>
                  </pic:spPr>
                </pic:pic>
              </a:graphicData>
            </a:graphic>
          </wp:inline>
        </w:drawing>
      </w:r>
    </w:p>
    <w:sectPr>
      <w:pgSz w:w="11906" w:h="16838"/>
      <w:pgMar w:top="1440" w:right="1803" w:bottom="1440" w:left="1803" w:header="851" w:footer="992" w:gutter="0"/>
      <w:pgBorders>
        <w:top w:val="none" w:sz="0" w:space="0"/>
        <w:left w:val="none" w:sz="0" w:space="0"/>
        <w:bottom w:val="none" w:sz="0" w:space="0"/>
        <w:right w:val="none" w:sz="0" w:space="0"/>
      </w:pgBorders>
      <w:pgNumType w:fmt="decimal"/>
      <w:cols w:space="720" w:num="1"/>
      <w:rtlGutter w:val="0"/>
      <w:docGrid w:linePitch="435"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640"/>
      </w:pPr>
      <w:r>
        <w:separator/>
      </w:r>
    </w:p>
  </w:endnote>
  <w:endnote w:type="continuationSeparator" w:id="1">
    <w:p>
      <w:pPr>
        <w:spacing w:line="240" w:lineRule="auto"/>
        <w:ind w:firstLine="64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34"/>
    <w:family w:val="roman"/>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方正小标宋简体">
    <w:panose1 w:val="00000600000000000000"/>
    <w:charset w:val="86"/>
    <w:family w:val="auto"/>
    <w:pitch w:val="default"/>
    <w:sig w:usb0="800002BF" w:usb1="184F6CF8" w:usb2="00000012" w:usb3="00000000" w:csb0="00160001" w:csb1="1203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640"/>
      </w:pPr>
      <w:r>
        <w:separator/>
      </w:r>
    </w:p>
  </w:footnote>
  <w:footnote w:type="continuationSeparator" w:id="1">
    <w:p>
      <w:pPr>
        <w:spacing w:line="240" w:lineRule="auto"/>
        <w:ind w:firstLine="64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611F67E"/>
    <w:multiLevelType w:val="multilevel"/>
    <w:tmpl w:val="A611F67E"/>
    <w:lvl w:ilvl="0" w:tentative="0">
      <w:start w:val="1"/>
      <w:numFmt w:val="chineseCounting"/>
      <w:pStyle w:val="4"/>
      <w:suff w:val="space"/>
      <w:lvlText w:val="第%1章 "/>
      <w:lvlJc w:val="left"/>
      <w:pPr>
        <w:tabs>
          <w:tab w:val="left" w:pos="0"/>
        </w:tabs>
        <w:ind w:left="0" w:firstLine="402"/>
      </w:pPr>
      <w:rPr>
        <w:rFonts w:hint="eastAsia" w:ascii="方正小标宋_GBK" w:hAnsi="方正小标宋_GBK" w:eastAsia="方正小标宋_GBK"/>
        <w:sz w:val="36"/>
        <w:szCs w:val="36"/>
      </w:rPr>
    </w:lvl>
    <w:lvl w:ilvl="1" w:tentative="0">
      <w:start w:val="1"/>
      <w:numFmt w:val="chineseCounting"/>
      <w:pStyle w:val="5"/>
      <w:suff w:val="nothing"/>
      <w:lvlText w:val="第%2节  "/>
      <w:lvlJc w:val="left"/>
      <w:pPr>
        <w:tabs>
          <w:tab w:val="left" w:pos="0"/>
        </w:tabs>
        <w:ind w:left="0" w:firstLine="402"/>
      </w:pPr>
      <w:rPr>
        <w:rFonts w:hint="eastAsia" w:ascii="黑体" w:hAnsi="黑体" w:eastAsia="黑体"/>
        <w:sz w:val="32"/>
        <w:szCs w:val="30"/>
      </w:rPr>
    </w:lvl>
    <w:lvl w:ilvl="2" w:tentative="0">
      <w:start w:val="1"/>
      <w:numFmt w:val="decimal"/>
      <w:lvlRestart w:val="0"/>
      <w:pStyle w:val="6"/>
      <w:suff w:val="nothing"/>
      <w:lvlText w:val="第%3条  "/>
      <w:lvlJc w:val="left"/>
      <w:pPr>
        <w:tabs>
          <w:tab w:val="left" w:pos="0"/>
        </w:tabs>
        <w:ind w:left="0" w:firstLine="402"/>
      </w:pPr>
      <w:rPr>
        <w:rFonts w:hint="eastAsia" w:ascii="楷体_GB2312" w:hAnsi="楷体_GB2312" w:eastAsia="楷体_GB2312"/>
        <w:sz w:val="32"/>
        <w:szCs w:val="32"/>
      </w:rPr>
    </w:lvl>
    <w:lvl w:ilvl="3" w:tentative="0">
      <w:start w:val="1"/>
      <w:numFmt w:val="decimal"/>
      <w:suff w:val="nothing"/>
      <w:lvlText w:val="（%4）"/>
      <w:lvlJc w:val="left"/>
      <w:pPr>
        <w:ind w:left="0" w:firstLine="402"/>
      </w:pPr>
      <w:rPr>
        <w:rFonts w:hint="eastAsia"/>
      </w:rPr>
    </w:lvl>
    <w:lvl w:ilvl="4" w:tentative="0">
      <w:start w:val="1"/>
      <w:numFmt w:val="decimalEnclosedCircleChinese"/>
      <w:suff w:val="nothing"/>
      <w:lvlText w:val="%5 "/>
      <w:lvlJc w:val="left"/>
      <w:pPr>
        <w:ind w:left="0" w:firstLine="402"/>
      </w:pPr>
      <w:rPr>
        <w:rFonts w:hint="eastAsia"/>
      </w:rPr>
    </w:lvl>
    <w:lvl w:ilvl="5" w:tentative="0">
      <w:start w:val="1"/>
      <w:numFmt w:val="decimal"/>
      <w:suff w:val="nothing"/>
      <w:lvlText w:val="%6）"/>
      <w:lvlJc w:val="left"/>
      <w:pPr>
        <w:ind w:left="0" w:firstLine="402"/>
      </w:pPr>
      <w:rPr>
        <w:rFonts w:hint="eastAsia"/>
      </w:rPr>
    </w:lvl>
    <w:lvl w:ilvl="6" w:tentative="0">
      <w:start w:val="1"/>
      <w:numFmt w:val="lowerLetter"/>
      <w:suff w:val="nothing"/>
      <w:lvlText w:val="%7．"/>
      <w:lvlJc w:val="left"/>
      <w:pPr>
        <w:ind w:left="0" w:firstLine="402"/>
      </w:pPr>
      <w:rPr>
        <w:rFonts w:hint="eastAsia"/>
      </w:rPr>
    </w:lvl>
    <w:lvl w:ilvl="7" w:tentative="0">
      <w:start w:val="1"/>
      <w:numFmt w:val="lowerLetter"/>
      <w:suff w:val="nothing"/>
      <w:lvlText w:val="%8）"/>
      <w:lvlJc w:val="left"/>
      <w:pPr>
        <w:ind w:left="0" w:firstLine="402"/>
      </w:pPr>
      <w:rPr>
        <w:rFonts w:hint="eastAsia"/>
      </w:rPr>
    </w:lvl>
    <w:lvl w:ilvl="8" w:tentative="0">
      <w:start w:val="1"/>
      <w:numFmt w:val="lowerRoman"/>
      <w:suff w:val="nothing"/>
      <w:lvlText w:val="%9. "/>
      <w:lvlJc w:val="left"/>
      <w:pPr>
        <w:ind w:left="0" w:firstLine="402"/>
      </w:pPr>
      <w:rPr>
        <w:rFonts w:hint="eastAsia"/>
      </w:rPr>
    </w:lvl>
  </w:abstractNum>
  <w:abstractNum w:abstractNumId="1">
    <w:nsid w:val="111F3A2B"/>
    <w:multiLevelType w:val="singleLevel"/>
    <w:tmpl w:val="111F3A2B"/>
    <w:lvl w:ilvl="0" w:tentative="0">
      <w:start w:val="1"/>
      <w:numFmt w:val="chineseCounting"/>
      <w:pStyle w:val="51"/>
      <w:suff w:val="nothing"/>
      <w:lvlText w:val="%1、"/>
      <w:lvlJc w:val="left"/>
      <w:pPr>
        <w:ind w:left="0" w:firstLine="397"/>
      </w:pPr>
      <w:rPr>
        <w:rFonts w:hint="eastAsia"/>
      </w:rPr>
    </w:lvl>
  </w:abstractNum>
  <w:abstractNum w:abstractNumId="2">
    <w:nsid w:val="1DD67C98"/>
    <w:multiLevelType w:val="singleLevel"/>
    <w:tmpl w:val="1DD67C98"/>
    <w:lvl w:ilvl="0" w:tentative="0">
      <w:start w:val="1"/>
      <w:numFmt w:val="chineseCounting"/>
      <w:pStyle w:val="52"/>
      <w:suff w:val="nothing"/>
      <w:lvlText w:val="（%1）"/>
      <w:lvlJc w:val="left"/>
      <w:pPr>
        <w:ind w:left="0" w:firstLine="420"/>
      </w:pPr>
      <w:rPr>
        <w:rFonts w:hint="eastAsia"/>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50"/>
  <w:bordersDoNotSurroundHeader w:val="0"/>
  <w:bordersDoNotSurroundFooter w:val="0"/>
  <w:documentProtection w:enforcement="0"/>
  <w:defaultTabStop w:val="0"/>
  <w:hyphenationZone w:val="36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jljY2FmOTBhOWFjMTFlM2U1NzgxZDg4NWRiMDM4NTgifQ=="/>
  </w:docVars>
  <w:rsids>
    <w:rsidRoot w:val="00172A27"/>
    <w:rsid w:val="00027B37"/>
    <w:rsid w:val="00033C15"/>
    <w:rsid w:val="00076E7C"/>
    <w:rsid w:val="00163A3E"/>
    <w:rsid w:val="00166F22"/>
    <w:rsid w:val="001B314B"/>
    <w:rsid w:val="001D026F"/>
    <w:rsid w:val="00281D04"/>
    <w:rsid w:val="002A2116"/>
    <w:rsid w:val="00305DFF"/>
    <w:rsid w:val="00391B77"/>
    <w:rsid w:val="0044631A"/>
    <w:rsid w:val="00493062"/>
    <w:rsid w:val="00603EAF"/>
    <w:rsid w:val="00696B8C"/>
    <w:rsid w:val="006A2418"/>
    <w:rsid w:val="006D19D9"/>
    <w:rsid w:val="008B0DA7"/>
    <w:rsid w:val="00926DB5"/>
    <w:rsid w:val="009F5F23"/>
    <w:rsid w:val="00A02834"/>
    <w:rsid w:val="00A23CCD"/>
    <w:rsid w:val="00AB23A6"/>
    <w:rsid w:val="00AB2EA1"/>
    <w:rsid w:val="00AD7338"/>
    <w:rsid w:val="00CF79AD"/>
    <w:rsid w:val="00EC2E59"/>
    <w:rsid w:val="00F70D86"/>
    <w:rsid w:val="00FB36C8"/>
    <w:rsid w:val="01655243"/>
    <w:rsid w:val="01893741"/>
    <w:rsid w:val="01906009"/>
    <w:rsid w:val="01B049BB"/>
    <w:rsid w:val="02E30915"/>
    <w:rsid w:val="02FE1295"/>
    <w:rsid w:val="030B2A3C"/>
    <w:rsid w:val="033D7C5A"/>
    <w:rsid w:val="03472716"/>
    <w:rsid w:val="039F5A70"/>
    <w:rsid w:val="03A553E2"/>
    <w:rsid w:val="03C2272B"/>
    <w:rsid w:val="03F52BEC"/>
    <w:rsid w:val="04D534CB"/>
    <w:rsid w:val="04EE06F2"/>
    <w:rsid w:val="05483AD3"/>
    <w:rsid w:val="05F9301F"/>
    <w:rsid w:val="06622346"/>
    <w:rsid w:val="066B006C"/>
    <w:rsid w:val="06703003"/>
    <w:rsid w:val="06B238FA"/>
    <w:rsid w:val="07640CB1"/>
    <w:rsid w:val="080C0DE8"/>
    <w:rsid w:val="08253634"/>
    <w:rsid w:val="08331074"/>
    <w:rsid w:val="088B78D9"/>
    <w:rsid w:val="0891182B"/>
    <w:rsid w:val="08BB6CE5"/>
    <w:rsid w:val="09523172"/>
    <w:rsid w:val="0982397F"/>
    <w:rsid w:val="098826BB"/>
    <w:rsid w:val="09EA5F80"/>
    <w:rsid w:val="0B9D756E"/>
    <w:rsid w:val="0BB5225A"/>
    <w:rsid w:val="0BEB6F66"/>
    <w:rsid w:val="0C336A37"/>
    <w:rsid w:val="0C3C376D"/>
    <w:rsid w:val="0D0417DE"/>
    <w:rsid w:val="0D476E7E"/>
    <w:rsid w:val="0ED604C7"/>
    <w:rsid w:val="0EF645A0"/>
    <w:rsid w:val="0F435B80"/>
    <w:rsid w:val="0F5251FA"/>
    <w:rsid w:val="0F9E2056"/>
    <w:rsid w:val="10484987"/>
    <w:rsid w:val="10B90E63"/>
    <w:rsid w:val="111D5E14"/>
    <w:rsid w:val="1153135B"/>
    <w:rsid w:val="119971C1"/>
    <w:rsid w:val="11B462BD"/>
    <w:rsid w:val="12C0739F"/>
    <w:rsid w:val="137D49D8"/>
    <w:rsid w:val="138959E3"/>
    <w:rsid w:val="138C3C92"/>
    <w:rsid w:val="13D8488F"/>
    <w:rsid w:val="15496F4F"/>
    <w:rsid w:val="156830A7"/>
    <w:rsid w:val="156E30FA"/>
    <w:rsid w:val="15C57FEA"/>
    <w:rsid w:val="15D222A6"/>
    <w:rsid w:val="184967EF"/>
    <w:rsid w:val="18757538"/>
    <w:rsid w:val="18C80C30"/>
    <w:rsid w:val="19B47F4F"/>
    <w:rsid w:val="19E56821"/>
    <w:rsid w:val="1A2F4F02"/>
    <w:rsid w:val="1A6745A4"/>
    <w:rsid w:val="1A85028A"/>
    <w:rsid w:val="1A975879"/>
    <w:rsid w:val="1B1961E0"/>
    <w:rsid w:val="1B1B2104"/>
    <w:rsid w:val="1B434989"/>
    <w:rsid w:val="1BE33925"/>
    <w:rsid w:val="1C085191"/>
    <w:rsid w:val="1C1601D9"/>
    <w:rsid w:val="1C4E5038"/>
    <w:rsid w:val="1C522735"/>
    <w:rsid w:val="1C784846"/>
    <w:rsid w:val="1D7B31AC"/>
    <w:rsid w:val="1E3E64D5"/>
    <w:rsid w:val="1E5C0C96"/>
    <w:rsid w:val="1EA1723B"/>
    <w:rsid w:val="1EAA2CB1"/>
    <w:rsid w:val="1ED379D1"/>
    <w:rsid w:val="1F973235"/>
    <w:rsid w:val="20397CD9"/>
    <w:rsid w:val="20443008"/>
    <w:rsid w:val="20847C5E"/>
    <w:rsid w:val="20F807BC"/>
    <w:rsid w:val="21132F97"/>
    <w:rsid w:val="211710C1"/>
    <w:rsid w:val="21DB1A71"/>
    <w:rsid w:val="224C7974"/>
    <w:rsid w:val="22986432"/>
    <w:rsid w:val="22B52CA4"/>
    <w:rsid w:val="243C2F1E"/>
    <w:rsid w:val="24997A50"/>
    <w:rsid w:val="250221F5"/>
    <w:rsid w:val="2511662A"/>
    <w:rsid w:val="25457D8E"/>
    <w:rsid w:val="25FF63CA"/>
    <w:rsid w:val="26151358"/>
    <w:rsid w:val="26290FC4"/>
    <w:rsid w:val="263132A0"/>
    <w:rsid w:val="26443F74"/>
    <w:rsid w:val="2660756F"/>
    <w:rsid w:val="266A3452"/>
    <w:rsid w:val="26B85A22"/>
    <w:rsid w:val="26BE19EF"/>
    <w:rsid w:val="27EC7E96"/>
    <w:rsid w:val="28F942BB"/>
    <w:rsid w:val="2A374C26"/>
    <w:rsid w:val="2B732D2C"/>
    <w:rsid w:val="2BB855A9"/>
    <w:rsid w:val="2C8344BA"/>
    <w:rsid w:val="2D014005"/>
    <w:rsid w:val="2D025AB3"/>
    <w:rsid w:val="2D0770E3"/>
    <w:rsid w:val="2D426ED6"/>
    <w:rsid w:val="2DC86CB0"/>
    <w:rsid w:val="2E4226DD"/>
    <w:rsid w:val="2EEF57BD"/>
    <w:rsid w:val="2F8121F9"/>
    <w:rsid w:val="30062A53"/>
    <w:rsid w:val="300C5986"/>
    <w:rsid w:val="30144B40"/>
    <w:rsid w:val="305D1EAE"/>
    <w:rsid w:val="306C426A"/>
    <w:rsid w:val="30861CF0"/>
    <w:rsid w:val="30C87545"/>
    <w:rsid w:val="30F2476F"/>
    <w:rsid w:val="31554CFE"/>
    <w:rsid w:val="31AC675D"/>
    <w:rsid w:val="320746CF"/>
    <w:rsid w:val="322D6958"/>
    <w:rsid w:val="32B7030D"/>
    <w:rsid w:val="32C12C2B"/>
    <w:rsid w:val="32D876C7"/>
    <w:rsid w:val="32E30540"/>
    <w:rsid w:val="335473B7"/>
    <w:rsid w:val="33EB36F8"/>
    <w:rsid w:val="34161EC7"/>
    <w:rsid w:val="34FE057D"/>
    <w:rsid w:val="354F4CF5"/>
    <w:rsid w:val="35906305"/>
    <w:rsid w:val="35C06E1B"/>
    <w:rsid w:val="35E8636C"/>
    <w:rsid w:val="36034D29"/>
    <w:rsid w:val="36610C19"/>
    <w:rsid w:val="367F39EB"/>
    <w:rsid w:val="3745765C"/>
    <w:rsid w:val="37AE2972"/>
    <w:rsid w:val="38295B4A"/>
    <w:rsid w:val="38305AD3"/>
    <w:rsid w:val="383F79D7"/>
    <w:rsid w:val="384E5875"/>
    <w:rsid w:val="38A071A7"/>
    <w:rsid w:val="38C369F1"/>
    <w:rsid w:val="39A52477"/>
    <w:rsid w:val="3A270E39"/>
    <w:rsid w:val="3AE5195A"/>
    <w:rsid w:val="3BE25979"/>
    <w:rsid w:val="3C000A12"/>
    <w:rsid w:val="3C0A47A5"/>
    <w:rsid w:val="3C3551C7"/>
    <w:rsid w:val="3C750E95"/>
    <w:rsid w:val="3CA562E6"/>
    <w:rsid w:val="3CF273F1"/>
    <w:rsid w:val="3E19718E"/>
    <w:rsid w:val="3EB30FC3"/>
    <w:rsid w:val="3EDC5590"/>
    <w:rsid w:val="3EE15658"/>
    <w:rsid w:val="3F1E5ED2"/>
    <w:rsid w:val="3F4B70E6"/>
    <w:rsid w:val="3FD503C0"/>
    <w:rsid w:val="3FF3103D"/>
    <w:rsid w:val="3FFC3940"/>
    <w:rsid w:val="40452CCE"/>
    <w:rsid w:val="408772D8"/>
    <w:rsid w:val="40890521"/>
    <w:rsid w:val="409C4A56"/>
    <w:rsid w:val="41EF5A1D"/>
    <w:rsid w:val="42F83BFA"/>
    <w:rsid w:val="430C7FAB"/>
    <w:rsid w:val="43C95542"/>
    <w:rsid w:val="44165D14"/>
    <w:rsid w:val="44444ED0"/>
    <w:rsid w:val="44FA0CD3"/>
    <w:rsid w:val="457E2E09"/>
    <w:rsid w:val="457E4886"/>
    <w:rsid w:val="46031D8D"/>
    <w:rsid w:val="46595971"/>
    <w:rsid w:val="46C922BA"/>
    <w:rsid w:val="476046D5"/>
    <w:rsid w:val="477B1935"/>
    <w:rsid w:val="47FA6E80"/>
    <w:rsid w:val="47FD3C57"/>
    <w:rsid w:val="48667B2A"/>
    <w:rsid w:val="48D66617"/>
    <w:rsid w:val="49076E7A"/>
    <w:rsid w:val="49216CB9"/>
    <w:rsid w:val="498F1F57"/>
    <w:rsid w:val="49AD39EF"/>
    <w:rsid w:val="49F34EC0"/>
    <w:rsid w:val="4ADB2B59"/>
    <w:rsid w:val="4B4839BB"/>
    <w:rsid w:val="4BE26227"/>
    <w:rsid w:val="4C152D4D"/>
    <w:rsid w:val="4C3043D3"/>
    <w:rsid w:val="4C476DD8"/>
    <w:rsid w:val="4D165F6B"/>
    <w:rsid w:val="4D5B01D9"/>
    <w:rsid w:val="4D796F0D"/>
    <w:rsid w:val="4DCA29F6"/>
    <w:rsid w:val="4DF072AA"/>
    <w:rsid w:val="4DF463DC"/>
    <w:rsid w:val="4E29218D"/>
    <w:rsid w:val="4E516B22"/>
    <w:rsid w:val="4E7140F2"/>
    <w:rsid w:val="4EC03A6C"/>
    <w:rsid w:val="4EC70E70"/>
    <w:rsid w:val="4F257D84"/>
    <w:rsid w:val="4F4D7908"/>
    <w:rsid w:val="4FFC1018"/>
    <w:rsid w:val="504B4A2A"/>
    <w:rsid w:val="50F65A50"/>
    <w:rsid w:val="51243D4F"/>
    <w:rsid w:val="51424955"/>
    <w:rsid w:val="51662901"/>
    <w:rsid w:val="516721B8"/>
    <w:rsid w:val="520624AD"/>
    <w:rsid w:val="528B2778"/>
    <w:rsid w:val="529E2CA5"/>
    <w:rsid w:val="52F8477C"/>
    <w:rsid w:val="53025EFC"/>
    <w:rsid w:val="53490480"/>
    <w:rsid w:val="53A72DF2"/>
    <w:rsid w:val="53C91C9E"/>
    <w:rsid w:val="55833605"/>
    <w:rsid w:val="55B26DA9"/>
    <w:rsid w:val="562C39D0"/>
    <w:rsid w:val="56CC232E"/>
    <w:rsid w:val="56E14FD6"/>
    <w:rsid w:val="57002DC1"/>
    <w:rsid w:val="570A1F63"/>
    <w:rsid w:val="58581D82"/>
    <w:rsid w:val="58CB5722"/>
    <w:rsid w:val="58FA39E0"/>
    <w:rsid w:val="59127A0C"/>
    <w:rsid w:val="59C50504"/>
    <w:rsid w:val="59FE5625"/>
    <w:rsid w:val="5A731BCE"/>
    <w:rsid w:val="5A8B4B30"/>
    <w:rsid w:val="5B5E1679"/>
    <w:rsid w:val="5B8C5E71"/>
    <w:rsid w:val="5B977685"/>
    <w:rsid w:val="5B9E7DF2"/>
    <w:rsid w:val="5C224533"/>
    <w:rsid w:val="5C96155D"/>
    <w:rsid w:val="5D281560"/>
    <w:rsid w:val="5DE20E10"/>
    <w:rsid w:val="5E07142D"/>
    <w:rsid w:val="5E0C263D"/>
    <w:rsid w:val="5EB037A4"/>
    <w:rsid w:val="5EB96AAA"/>
    <w:rsid w:val="5F3B0ECA"/>
    <w:rsid w:val="6059598F"/>
    <w:rsid w:val="60E05B3D"/>
    <w:rsid w:val="610D0751"/>
    <w:rsid w:val="62175534"/>
    <w:rsid w:val="62C52970"/>
    <w:rsid w:val="62D66050"/>
    <w:rsid w:val="62E12F32"/>
    <w:rsid w:val="62E677EE"/>
    <w:rsid w:val="63AC0E3D"/>
    <w:rsid w:val="63CF6F29"/>
    <w:rsid w:val="63F06720"/>
    <w:rsid w:val="63FF44D2"/>
    <w:rsid w:val="650F1B4B"/>
    <w:rsid w:val="65A73628"/>
    <w:rsid w:val="65C26ABF"/>
    <w:rsid w:val="65C46CD4"/>
    <w:rsid w:val="66426DFE"/>
    <w:rsid w:val="677A2CE6"/>
    <w:rsid w:val="678C73B0"/>
    <w:rsid w:val="67F60978"/>
    <w:rsid w:val="68132EF5"/>
    <w:rsid w:val="68FD194E"/>
    <w:rsid w:val="6A0F0D12"/>
    <w:rsid w:val="6A55309E"/>
    <w:rsid w:val="6A792DB3"/>
    <w:rsid w:val="6AA716B4"/>
    <w:rsid w:val="6B467892"/>
    <w:rsid w:val="6B5F111A"/>
    <w:rsid w:val="6BBE449F"/>
    <w:rsid w:val="6BE8232A"/>
    <w:rsid w:val="6BEC7C01"/>
    <w:rsid w:val="6C871626"/>
    <w:rsid w:val="6D041684"/>
    <w:rsid w:val="6D7B09F7"/>
    <w:rsid w:val="6DD53539"/>
    <w:rsid w:val="6DE82055"/>
    <w:rsid w:val="6E022E04"/>
    <w:rsid w:val="6F052E67"/>
    <w:rsid w:val="6F285225"/>
    <w:rsid w:val="7066557E"/>
    <w:rsid w:val="70FC4672"/>
    <w:rsid w:val="7113780F"/>
    <w:rsid w:val="711D0DD2"/>
    <w:rsid w:val="71233EF6"/>
    <w:rsid w:val="713D340A"/>
    <w:rsid w:val="714B51FB"/>
    <w:rsid w:val="71BB16AE"/>
    <w:rsid w:val="72387A5C"/>
    <w:rsid w:val="725676CF"/>
    <w:rsid w:val="72871C1F"/>
    <w:rsid w:val="730304E2"/>
    <w:rsid w:val="73A57D53"/>
    <w:rsid w:val="74100E8F"/>
    <w:rsid w:val="76704A3E"/>
    <w:rsid w:val="77021206"/>
    <w:rsid w:val="773F45B3"/>
    <w:rsid w:val="77DA60C5"/>
    <w:rsid w:val="78312CE4"/>
    <w:rsid w:val="7882046A"/>
    <w:rsid w:val="78B47B29"/>
    <w:rsid w:val="78D05F70"/>
    <w:rsid w:val="78E62FA1"/>
    <w:rsid w:val="78F46777"/>
    <w:rsid w:val="79BB32C1"/>
    <w:rsid w:val="79CC1A0A"/>
    <w:rsid w:val="7AFE7DA7"/>
    <w:rsid w:val="7B05200B"/>
    <w:rsid w:val="7B387B3F"/>
    <w:rsid w:val="7B5B06AD"/>
    <w:rsid w:val="7BD62ED1"/>
    <w:rsid w:val="7C37624A"/>
    <w:rsid w:val="7C940E6A"/>
    <w:rsid w:val="7E03059A"/>
    <w:rsid w:val="7E370C5F"/>
    <w:rsid w:val="7EED1559"/>
    <w:rsid w:val="7F58764C"/>
    <w:rsid w:val="7F684630"/>
    <w:rsid w:val="7FC555FB"/>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semiHidden="0" w:name="Date"/>
    <w:lsdException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eepNext w:val="0"/>
      <w:keepLines w:val="0"/>
      <w:widowControl w:val="0"/>
      <w:adjustRightInd w:val="0"/>
      <w:snapToGrid w:val="0"/>
      <w:spacing w:line="560" w:lineRule="exact"/>
      <w:ind w:firstLine="200" w:firstLineChars="200"/>
      <w:jc w:val="both"/>
    </w:pPr>
    <w:rPr>
      <w:rFonts w:ascii="仿宋_GB2312" w:hAnsi="仿宋_GB2312" w:eastAsia="仿宋_GB2312" w:cs="仿宋_GB2312"/>
      <w:kern w:val="2"/>
      <w:sz w:val="32"/>
      <w:szCs w:val="22"/>
      <w:lang w:val="en-US" w:eastAsia="zh-CN" w:bidi="ar-SA"/>
    </w:rPr>
  </w:style>
  <w:style w:type="paragraph" w:styleId="4">
    <w:name w:val="heading 1"/>
    <w:basedOn w:val="5"/>
    <w:next w:val="1"/>
    <w:link w:val="21"/>
    <w:qFormat/>
    <w:uiPriority w:val="9"/>
    <w:pPr>
      <w:pageBreakBefore/>
      <w:numPr>
        <w:ilvl w:val="0"/>
        <w:numId w:val="1"/>
      </w:numPr>
      <w:snapToGrid w:val="0"/>
      <w:spacing w:before="350" w:beforeLines="350" w:after="150" w:afterLines="150" w:line="240" w:lineRule="auto"/>
      <w:ind w:firstLine="402" w:firstLineChars="0"/>
      <w:jc w:val="center"/>
      <w:outlineLvl w:val="0"/>
    </w:pPr>
    <w:rPr>
      <w:rFonts w:eastAsia="方正小标宋_GBK"/>
      <w:sz w:val="36"/>
      <w:szCs w:val="44"/>
    </w:rPr>
  </w:style>
  <w:style w:type="paragraph" w:styleId="5">
    <w:name w:val="heading 2"/>
    <w:basedOn w:val="1"/>
    <w:next w:val="1"/>
    <w:link w:val="20"/>
    <w:unhideWhenUsed/>
    <w:qFormat/>
    <w:uiPriority w:val="9"/>
    <w:pPr>
      <w:keepNext w:val="0"/>
      <w:numPr>
        <w:ilvl w:val="1"/>
        <w:numId w:val="1"/>
      </w:numPr>
      <w:adjustRightInd w:val="0"/>
      <w:snapToGrid w:val="0"/>
      <w:spacing w:before="100" w:beforeLines="100" w:after="100" w:afterLines="100"/>
      <w:ind w:firstLine="402" w:firstLineChars="0"/>
      <w:jc w:val="center"/>
      <w:outlineLvl w:val="1"/>
    </w:pPr>
    <w:rPr>
      <w:rFonts w:ascii="Times New Roman" w:hAnsi="Times New Roman" w:eastAsia="黑体"/>
    </w:rPr>
  </w:style>
  <w:style w:type="paragraph" w:styleId="6">
    <w:name w:val="heading 3"/>
    <w:basedOn w:val="1"/>
    <w:next w:val="1"/>
    <w:link w:val="22"/>
    <w:unhideWhenUsed/>
    <w:qFormat/>
    <w:uiPriority w:val="9"/>
    <w:pPr>
      <w:numPr>
        <w:ilvl w:val="2"/>
        <w:numId w:val="1"/>
      </w:numPr>
      <w:tabs>
        <w:tab w:val="left" w:pos="840"/>
        <w:tab w:val="clear" w:pos="0"/>
      </w:tabs>
      <w:adjustRightInd w:val="0"/>
      <w:snapToGrid w:val="0"/>
      <w:spacing w:before="50" w:beforeLines="50" w:after="50" w:afterLines="50"/>
      <w:ind w:firstLine="1040" w:firstLineChars="200"/>
      <w:outlineLvl w:val="2"/>
    </w:pPr>
    <w:rPr>
      <w:rFonts w:ascii="楷体_GB2312" w:hAnsi="楷体_GB2312" w:eastAsia="楷体_GB2312"/>
      <w:bCs/>
      <w:szCs w:val="32"/>
    </w:rPr>
  </w:style>
  <w:style w:type="paragraph" w:styleId="7">
    <w:name w:val="heading 4"/>
    <w:basedOn w:val="1"/>
    <w:next w:val="1"/>
    <w:unhideWhenUsed/>
    <w:qFormat/>
    <w:uiPriority w:val="9"/>
    <w:pPr>
      <w:keepNext/>
      <w:keepLines/>
      <w:spacing w:before="280" w:beforeLines="0" w:beforeAutospacing="0" w:after="290" w:afterLines="0" w:afterAutospacing="0" w:line="372" w:lineRule="auto"/>
      <w:outlineLvl w:val="3"/>
    </w:pPr>
    <w:rPr>
      <w:rFonts w:ascii="Arial" w:hAnsi="Arial" w:eastAsia="黑体"/>
      <w:b/>
      <w:sz w:val="28"/>
    </w:rPr>
  </w:style>
  <w:style w:type="character" w:default="1" w:styleId="18">
    <w:name w:val="Default Paragraph Font"/>
    <w:unhideWhenUsed/>
    <w:qFormat/>
    <w:uiPriority w:val="1"/>
  </w:style>
  <w:style w:type="table" w:default="1" w:styleId="16">
    <w:name w:val="Normal Table"/>
    <w:unhideWhenUsed/>
    <w:qFormat/>
    <w:uiPriority w:val="99"/>
    <w:tblPr>
      <w:tblCellMar>
        <w:top w:w="0" w:type="dxa"/>
        <w:left w:w="108" w:type="dxa"/>
        <w:bottom w:w="0" w:type="dxa"/>
        <w:right w:w="108" w:type="dxa"/>
      </w:tblCellMar>
    </w:tblPr>
  </w:style>
  <w:style w:type="paragraph" w:styleId="2">
    <w:name w:val="Body Text First Indent 2"/>
    <w:basedOn w:val="3"/>
    <w:qFormat/>
    <w:uiPriority w:val="0"/>
    <w:pPr>
      <w:ind w:firstLine="420"/>
    </w:pPr>
  </w:style>
  <w:style w:type="paragraph" w:styleId="3">
    <w:name w:val="Body Text Indent"/>
    <w:basedOn w:val="1"/>
    <w:qFormat/>
    <w:uiPriority w:val="0"/>
    <w:pPr>
      <w:spacing w:after="120"/>
      <w:ind w:left="420" w:leftChars="200"/>
    </w:pPr>
  </w:style>
  <w:style w:type="paragraph" w:styleId="8">
    <w:name w:val="toc 3"/>
    <w:basedOn w:val="1"/>
    <w:next w:val="1"/>
    <w:unhideWhenUsed/>
    <w:qFormat/>
    <w:uiPriority w:val="39"/>
    <w:pPr>
      <w:ind w:left="840" w:leftChars="400"/>
    </w:pPr>
  </w:style>
  <w:style w:type="paragraph" w:styleId="9">
    <w:name w:val="Date"/>
    <w:basedOn w:val="1"/>
    <w:next w:val="1"/>
    <w:link w:val="23"/>
    <w:unhideWhenUsed/>
    <w:qFormat/>
    <w:uiPriority w:val="99"/>
    <w:pPr>
      <w:ind w:left="100" w:leftChars="2500"/>
    </w:pPr>
  </w:style>
  <w:style w:type="paragraph" w:styleId="10">
    <w:name w:val="footer"/>
    <w:basedOn w:val="1"/>
    <w:unhideWhenUsed/>
    <w:qFormat/>
    <w:uiPriority w:val="99"/>
    <w:pPr>
      <w:tabs>
        <w:tab w:val="center" w:pos="4153"/>
        <w:tab w:val="right" w:pos="8306"/>
      </w:tabs>
      <w:snapToGrid w:val="0"/>
      <w:spacing w:line="240" w:lineRule="auto"/>
      <w:ind w:firstLine="0" w:firstLineChars="0"/>
      <w:jc w:val="left"/>
    </w:pPr>
    <w:rPr>
      <w:rFonts w:ascii="Times New Roman" w:hAnsi="Times New Roman"/>
      <w:sz w:val="18"/>
    </w:rPr>
  </w:style>
  <w:style w:type="paragraph" w:styleId="11">
    <w:name w:val="header"/>
    <w:basedOn w:val="1"/>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ind w:firstLine="0" w:firstLineChars="0"/>
      <w:jc w:val="right"/>
      <w:outlineLvl w:val="9"/>
    </w:pPr>
    <w:rPr>
      <w:rFonts w:hAnsi="仿宋_GB2312" w:eastAsia="黑体"/>
      <w:sz w:val="21"/>
    </w:rPr>
  </w:style>
  <w:style w:type="paragraph" w:styleId="12">
    <w:name w:val="toc 1"/>
    <w:basedOn w:val="1"/>
    <w:next w:val="1"/>
    <w:qFormat/>
    <w:uiPriority w:val="0"/>
    <w:pPr>
      <w:ind w:firstLine="0" w:firstLineChars="0"/>
    </w:pPr>
    <w:rPr>
      <w:rFonts w:hAnsi="仿宋_GB2312" w:eastAsia="黑体"/>
    </w:rPr>
  </w:style>
  <w:style w:type="paragraph" w:styleId="13">
    <w:name w:val="footnote text"/>
    <w:basedOn w:val="1"/>
    <w:qFormat/>
    <w:uiPriority w:val="0"/>
    <w:pPr>
      <w:snapToGrid w:val="0"/>
      <w:jc w:val="left"/>
    </w:pPr>
    <w:rPr>
      <w:sz w:val="18"/>
    </w:rPr>
  </w:style>
  <w:style w:type="paragraph" w:styleId="14">
    <w:name w:val="toc 2"/>
    <w:basedOn w:val="1"/>
    <w:next w:val="1"/>
    <w:qFormat/>
    <w:uiPriority w:val="0"/>
    <w:pPr>
      <w:ind w:left="0" w:leftChars="0"/>
    </w:pPr>
    <w:rPr>
      <w:rFonts w:eastAsia="楷体"/>
    </w:rPr>
  </w:style>
  <w:style w:type="paragraph" w:styleId="15">
    <w:name w:val="Normal (Web)"/>
    <w:basedOn w:val="1"/>
    <w:qFormat/>
    <w:uiPriority w:val="0"/>
    <w:pPr>
      <w:spacing w:before="100" w:beforeAutospacing="1" w:after="100" w:afterAutospacing="1"/>
      <w:ind w:left="0" w:right="0"/>
      <w:jc w:val="left"/>
    </w:pPr>
    <w:rPr>
      <w:kern w:val="0"/>
      <w:sz w:val="24"/>
      <w:lang w:val="en-US" w:eastAsia="zh-CN" w:bidi="ar"/>
    </w:rPr>
  </w:style>
  <w:style w:type="table" w:styleId="17">
    <w:name w:val="Table Grid"/>
    <w:basedOn w:val="16"/>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9">
    <w:name w:val="footnote reference"/>
    <w:qFormat/>
    <w:uiPriority w:val="0"/>
    <w:rPr>
      <w:vertAlign w:val="superscript"/>
    </w:rPr>
  </w:style>
  <w:style w:type="character" w:customStyle="1" w:styleId="20">
    <w:name w:val="标题 2 字符"/>
    <w:link w:val="5"/>
    <w:qFormat/>
    <w:uiPriority w:val="9"/>
    <w:rPr>
      <w:rFonts w:ascii="Times New Roman" w:hAnsi="Times New Roman" w:eastAsia="黑体"/>
      <w:kern w:val="2"/>
      <w:sz w:val="32"/>
      <w:szCs w:val="22"/>
      <w:lang w:val="en-US" w:eastAsia="zh-CN" w:bidi="ar-SA"/>
    </w:rPr>
  </w:style>
  <w:style w:type="character" w:customStyle="1" w:styleId="21">
    <w:name w:val="标题 1 字符"/>
    <w:link w:val="4"/>
    <w:qFormat/>
    <w:uiPriority w:val="9"/>
    <w:rPr>
      <w:rFonts w:ascii="Times New Roman" w:hAnsi="Times New Roman" w:eastAsia="方正小标宋_GBK"/>
      <w:kern w:val="2"/>
      <w:sz w:val="36"/>
      <w:szCs w:val="44"/>
      <w:lang w:val="en-US" w:eastAsia="zh-CN" w:bidi="ar-SA"/>
    </w:rPr>
  </w:style>
  <w:style w:type="character" w:customStyle="1" w:styleId="22">
    <w:name w:val="标题 3 字符"/>
    <w:link w:val="6"/>
    <w:qFormat/>
    <w:uiPriority w:val="9"/>
    <w:rPr>
      <w:rFonts w:ascii="楷体_GB2312" w:hAnsi="楷体_GB2312" w:eastAsia="楷体_GB2312"/>
      <w:bCs/>
      <w:kern w:val="2"/>
      <w:sz w:val="32"/>
      <w:szCs w:val="32"/>
      <w:lang w:val="en-US" w:eastAsia="zh-CN" w:bidi="ar-SA"/>
    </w:rPr>
  </w:style>
  <w:style w:type="character" w:customStyle="1" w:styleId="23">
    <w:name w:val="日期 字符"/>
    <w:basedOn w:val="18"/>
    <w:link w:val="9"/>
    <w:semiHidden/>
    <w:qFormat/>
    <w:uiPriority w:val="99"/>
  </w:style>
  <w:style w:type="paragraph" w:customStyle="1" w:styleId="24">
    <w:name w:val="封面"/>
    <w:basedOn w:val="1"/>
    <w:next w:val="1"/>
    <w:qFormat/>
    <w:uiPriority w:val="0"/>
    <w:pPr>
      <w:snapToGrid w:val="0"/>
      <w:spacing w:before="1100" w:beforeLines="1100" w:line="240" w:lineRule="auto"/>
      <w:ind w:firstLine="0" w:firstLineChars="0"/>
      <w:jc w:val="center"/>
    </w:pPr>
    <w:rPr>
      <w:rFonts w:ascii="方正小标宋简体" w:hAnsi="方正小标宋简体" w:eastAsia="方正小标宋_GBK"/>
      <w:sz w:val="52"/>
    </w:rPr>
  </w:style>
  <w:style w:type="paragraph" w:customStyle="1" w:styleId="25">
    <w:name w:val="落款"/>
    <w:next w:val="1"/>
    <w:link w:val="26"/>
    <w:qFormat/>
    <w:uiPriority w:val="0"/>
    <w:pPr>
      <w:spacing w:line="560" w:lineRule="exact"/>
      <w:jc w:val="center"/>
    </w:pPr>
    <w:rPr>
      <w:rFonts w:ascii="楷体_GB2312" w:hAnsi="楷体_GB2312" w:eastAsia="楷体_GB2312" w:cs="Times New Roman"/>
      <w:sz w:val="32"/>
    </w:rPr>
  </w:style>
  <w:style w:type="character" w:customStyle="1" w:styleId="26">
    <w:name w:val="落款 Char"/>
    <w:link w:val="25"/>
    <w:qFormat/>
    <w:uiPriority w:val="0"/>
    <w:rPr>
      <w:rFonts w:ascii="楷体_GB2312" w:hAnsi="楷体_GB2312" w:eastAsia="楷体_GB2312"/>
      <w:sz w:val="32"/>
    </w:rPr>
  </w:style>
  <w:style w:type="paragraph" w:customStyle="1" w:styleId="27">
    <w:name w:val="目录"/>
    <w:basedOn w:val="24"/>
    <w:next w:val="1"/>
    <w:qFormat/>
    <w:uiPriority w:val="0"/>
    <w:pPr>
      <w:spacing w:before="200" w:beforeLines="200" w:after="150" w:afterLines="150"/>
      <w:ind w:firstLine="0" w:firstLineChars="0"/>
    </w:pPr>
    <w:rPr>
      <w:rFonts w:eastAsia="方正小标宋_GBK"/>
      <w:sz w:val="44"/>
    </w:rPr>
  </w:style>
  <w:style w:type="paragraph" w:customStyle="1" w:styleId="28">
    <w:name w:val="强制性内容"/>
    <w:basedOn w:val="1"/>
    <w:link w:val="29"/>
    <w:qFormat/>
    <w:uiPriority w:val="0"/>
    <w:pPr>
      <w:ind w:firstLine="640"/>
    </w:pPr>
    <w:rPr>
      <w:u w:val="single"/>
    </w:rPr>
  </w:style>
  <w:style w:type="character" w:customStyle="1" w:styleId="29">
    <w:name w:val="强制性内容 字符"/>
    <w:link w:val="28"/>
    <w:qFormat/>
    <w:uiPriority w:val="0"/>
    <w:rPr>
      <w:rFonts w:ascii="仿宋_GB2312" w:eastAsia="仿宋_GB2312"/>
      <w:kern w:val="2"/>
      <w:sz w:val="32"/>
      <w:szCs w:val="22"/>
      <w:u w:val="single"/>
    </w:rPr>
  </w:style>
  <w:style w:type="paragraph" w:customStyle="1" w:styleId="30">
    <w:name w:val="封面内容"/>
    <w:basedOn w:val="1"/>
    <w:qFormat/>
    <w:uiPriority w:val="0"/>
    <w:pPr>
      <w:numPr>
        <w:ilvl w:val="0"/>
        <w:numId w:val="0"/>
      </w:numPr>
      <w:spacing w:line="240" w:lineRule="auto"/>
      <w:ind w:left="0" w:firstLine="0" w:firstLineChars="0"/>
      <w:jc w:val="center"/>
    </w:pPr>
    <w:rPr>
      <w:rFonts w:eastAsia="方正小标宋_GBK"/>
      <w:sz w:val="44"/>
    </w:rPr>
  </w:style>
  <w:style w:type="paragraph" w:customStyle="1" w:styleId="31">
    <w:name w:val="表格第一行"/>
    <w:basedOn w:val="1"/>
    <w:link w:val="32"/>
    <w:qFormat/>
    <w:uiPriority w:val="0"/>
    <w:pPr>
      <w:keepNext w:val="0"/>
      <w:snapToGrid w:val="0"/>
      <w:spacing w:line="240" w:lineRule="auto"/>
      <w:ind w:firstLine="0" w:firstLineChars="0"/>
      <w:jc w:val="center"/>
    </w:pPr>
    <w:rPr>
      <w:rFonts w:ascii="黑体" w:hAnsi="黑体" w:eastAsia="黑体" w:cs="黑体"/>
      <w:sz w:val="24"/>
      <w:szCs w:val="20"/>
    </w:rPr>
  </w:style>
  <w:style w:type="character" w:customStyle="1" w:styleId="32">
    <w:name w:val="表格第一行 Char"/>
    <w:link w:val="31"/>
    <w:qFormat/>
    <w:uiPriority w:val="0"/>
    <w:rPr>
      <w:rFonts w:ascii="黑体" w:hAnsi="黑体" w:eastAsia="黑体" w:cs="黑体"/>
      <w:sz w:val="24"/>
      <w:szCs w:val="20"/>
    </w:rPr>
  </w:style>
  <w:style w:type="paragraph" w:customStyle="1" w:styleId="33">
    <w:name w:val="表格内容"/>
    <w:basedOn w:val="1"/>
    <w:qFormat/>
    <w:uiPriority w:val="0"/>
    <w:pPr>
      <w:keepNext w:val="0"/>
      <w:snapToGrid w:val="0"/>
      <w:spacing w:line="240" w:lineRule="auto"/>
      <w:ind w:firstLine="0" w:firstLineChars="0"/>
      <w:jc w:val="center"/>
    </w:pPr>
    <w:rPr>
      <w:sz w:val="24"/>
      <w:szCs w:val="20"/>
    </w:rPr>
  </w:style>
  <w:style w:type="paragraph" w:customStyle="1" w:styleId="34">
    <w:name w:val="表格标题"/>
    <w:basedOn w:val="1"/>
    <w:qFormat/>
    <w:uiPriority w:val="0"/>
    <w:pPr>
      <w:keepNext w:val="0"/>
      <w:spacing w:before="100" w:beforeLines="100"/>
      <w:ind w:firstLine="0" w:firstLineChars="0"/>
      <w:jc w:val="center"/>
    </w:pPr>
    <w:rPr>
      <w:rFonts w:hint="eastAsia" w:ascii="黑体" w:hAnsi="黑体" w:eastAsia="黑体"/>
      <w:sz w:val="28"/>
    </w:rPr>
  </w:style>
  <w:style w:type="paragraph" w:customStyle="1" w:styleId="35">
    <w:name w:val="图名"/>
    <w:basedOn w:val="1"/>
    <w:next w:val="1"/>
    <w:qFormat/>
    <w:uiPriority w:val="0"/>
    <w:pPr>
      <w:widowControl/>
      <w:spacing w:before="50" w:beforeLines="50" w:line="240" w:lineRule="auto"/>
      <w:ind w:firstLine="0" w:firstLineChars="0"/>
      <w:jc w:val="center"/>
      <w:textAlignment w:val="center"/>
    </w:pPr>
    <w:rPr>
      <w:rFonts w:hint="eastAsia" w:ascii="Times New Roman" w:hAnsi="Times New Roman" w:eastAsia="楷体" w:cs="Times New Roman"/>
      <w:color w:val="000000"/>
      <w:kern w:val="0"/>
      <w:sz w:val="30"/>
      <w:szCs w:val="28"/>
    </w:rPr>
  </w:style>
  <w:style w:type="paragraph" w:customStyle="1" w:styleId="36">
    <w:name w:val="图片"/>
    <w:basedOn w:val="1"/>
    <w:next w:val="1"/>
    <w:qFormat/>
    <w:uiPriority w:val="0"/>
    <w:pPr>
      <w:widowControl/>
      <w:spacing w:before="50" w:beforeLines="50" w:line="240" w:lineRule="auto"/>
      <w:ind w:firstLine="0" w:firstLineChars="0"/>
      <w:jc w:val="center"/>
      <w:textAlignment w:val="center"/>
    </w:pPr>
    <w:rPr>
      <w:rFonts w:hint="eastAsia" w:cs="Times New Roman"/>
      <w:color w:val="000000"/>
      <w:kern w:val="0"/>
      <w:sz w:val="24"/>
      <w:szCs w:val="28"/>
    </w:rPr>
  </w:style>
  <w:style w:type="paragraph" w:customStyle="1" w:styleId="37">
    <w:name w:val="图表"/>
    <w:basedOn w:val="1"/>
    <w:next w:val="1"/>
    <w:qFormat/>
    <w:uiPriority w:val="0"/>
    <w:pPr>
      <w:widowControl/>
      <w:spacing w:before="156" w:beforeLines="50" w:line="240" w:lineRule="auto"/>
      <w:ind w:firstLine="0" w:firstLineChars="0"/>
      <w:jc w:val="center"/>
      <w:textAlignment w:val="center"/>
    </w:pPr>
    <w:rPr>
      <w:rFonts w:hint="eastAsia" w:eastAsia="仿宋_GB2312" w:cs="Times New Roman"/>
      <w:color w:val="000000"/>
      <w:kern w:val="0"/>
      <w:sz w:val="24"/>
      <w:szCs w:val="28"/>
    </w:rPr>
  </w:style>
  <w:style w:type="paragraph" w:customStyle="1" w:styleId="38">
    <w:name w:val="附表"/>
    <w:basedOn w:val="1"/>
    <w:qFormat/>
    <w:uiPriority w:val="0"/>
    <w:pPr>
      <w:widowControl/>
      <w:ind w:firstLine="0" w:firstLineChars="0"/>
      <w:jc w:val="center"/>
      <w:outlineLvl w:val="1"/>
    </w:pPr>
    <w:rPr>
      <w:rFonts w:ascii="黑体" w:hAnsi="黑体" w:eastAsia="黑体"/>
      <w:szCs w:val="32"/>
    </w:rPr>
  </w:style>
  <w:style w:type="paragraph" w:customStyle="1" w:styleId="39">
    <w:name w:val="附表正文"/>
    <w:basedOn w:val="1"/>
    <w:qFormat/>
    <w:uiPriority w:val="0"/>
    <w:pPr>
      <w:widowControl w:val="0"/>
      <w:autoSpaceDE w:val="0"/>
      <w:autoSpaceDN w:val="0"/>
      <w:spacing w:line="400" w:lineRule="exact"/>
      <w:ind w:firstLine="0" w:firstLineChars="0"/>
      <w:jc w:val="center"/>
      <w:textAlignment w:val="center"/>
    </w:pPr>
    <w:rPr>
      <w:kern w:val="0"/>
      <w:sz w:val="21"/>
      <w:szCs w:val="24"/>
      <w:lang w:bidi="ar"/>
    </w:rPr>
  </w:style>
  <w:style w:type="paragraph" w:customStyle="1" w:styleId="40">
    <w:name w:val="附表备注"/>
    <w:basedOn w:val="1"/>
    <w:qFormat/>
    <w:uiPriority w:val="0"/>
    <w:pPr>
      <w:spacing w:line="240" w:lineRule="auto"/>
      <w:ind w:firstLine="0" w:firstLineChars="0"/>
    </w:pPr>
    <w:rPr>
      <w:rFonts w:eastAsia="楷体_GB2312"/>
      <w:sz w:val="21"/>
    </w:rPr>
  </w:style>
  <w:style w:type="paragraph" w:customStyle="1" w:styleId="41">
    <w:name w:val="附表标题"/>
    <w:basedOn w:val="1"/>
    <w:qFormat/>
    <w:uiPriority w:val="0"/>
    <w:pPr>
      <w:widowControl/>
      <w:ind w:firstLine="0" w:firstLineChars="0"/>
      <w:jc w:val="left"/>
      <w:outlineLvl w:val="0"/>
    </w:pPr>
    <w:rPr>
      <w:rFonts w:eastAsia="黑体"/>
      <w:szCs w:val="32"/>
    </w:rPr>
  </w:style>
  <w:style w:type="paragraph" w:customStyle="1" w:styleId="42">
    <w:name w:val="专栏标题"/>
    <w:basedOn w:val="1"/>
    <w:next w:val="1"/>
    <w:qFormat/>
    <w:uiPriority w:val="0"/>
    <w:pPr>
      <w:numPr>
        <w:ilvl w:val="1"/>
        <w:numId w:val="0"/>
      </w:numPr>
      <w:tabs>
        <w:tab w:val="left" w:pos="0"/>
      </w:tabs>
      <w:spacing w:before="50" w:beforeLines="50" w:after="50" w:afterLines="50" w:line="240" w:lineRule="auto"/>
      <w:ind w:firstLine="0" w:firstLineChars="0"/>
      <w:jc w:val="center"/>
      <w:outlineLvl w:val="9"/>
    </w:pPr>
    <w:rPr>
      <w:rFonts w:ascii="Times New Roman" w:hAnsi="Times New Roman" w:eastAsia="黑体"/>
    </w:rPr>
  </w:style>
  <w:style w:type="paragraph" w:customStyle="1" w:styleId="43">
    <w:name w:val="专栏正文"/>
    <w:basedOn w:val="1"/>
    <w:link w:val="44"/>
    <w:qFormat/>
    <w:uiPriority w:val="0"/>
    <w:pPr>
      <w:spacing w:line="500" w:lineRule="exact"/>
    </w:pPr>
    <w:rPr>
      <w:sz w:val="24"/>
    </w:rPr>
  </w:style>
  <w:style w:type="character" w:customStyle="1" w:styleId="44">
    <w:name w:val="专栏正文 Char"/>
    <w:link w:val="43"/>
    <w:qFormat/>
    <w:uiPriority w:val="0"/>
    <w:rPr>
      <w:sz w:val="24"/>
    </w:rPr>
  </w:style>
  <w:style w:type="paragraph" w:customStyle="1" w:styleId="45">
    <w:name w:val="专栏段首主题句"/>
    <w:basedOn w:val="1"/>
    <w:link w:val="46"/>
    <w:qFormat/>
    <w:uiPriority w:val="0"/>
    <w:pPr>
      <w:spacing w:line="500" w:lineRule="exact"/>
    </w:pPr>
    <w:rPr>
      <w:rFonts w:hint="eastAsia" w:eastAsia="楷体_GB2312"/>
      <w:sz w:val="24"/>
    </w:rPr>
  </w:style>
  <w:style w:type="character" w:customStyle="1" w:styleId="46">
    <w:name w:val="专栏段首主题句 Char"/>
    <w:link w:val="45"/>
    <w:qFormat/>
    <w:uiPriority w:val="0"/>
    <w:rPr>
      <w:rFonts w:hint="eastAsia" w:eastAsia="楷体_GB2312"/>
      <w:sz w:val="24"/>
    </w:rPr>
  </w:style>
  <w:style w:type="paragraph" w:customStyle="1" w:styleId="47">
    <w:name w:val="表格"/>
    <w:next w:val="1"/>
    <w:qFormat/>
    <w:uiPriority w:val="0"/>
    <w:pPr>
      <w:jc w:val="center"/>
      <w:textAlignment w:val="center"/>
    </w:pPr>
    <w:rPr>
      <w:rFonts w:hint="eastAsia" w:ascii="宋体" w:hAnsi="宋体" w:eastAsia="宋体" w:cs="Times New Roman"/>
      <w:color w:val="000000"/>
      <w:sz w:val="22"/>
      <w:lang w:val="en-US" w:eastAsia="zh-CN" w:bidi="ar-SA"/>
    </w:rPr>
  </w:style>
  <w:style w:type="character" w:customStyle="1" w:styleId="48">
    <w:name w:val="附则 Char"/>
    <w:link w:val="49"/>
    <w:qFormat/>
    <w:uiPriority w:val="0"/>
    <w:rPr>
      <w:rFonts w:eastAsia="黑体"/>
      <w:b/>
      <w:szCs w:val="32"/>
    </w:rPr>
  </w:style>
  <w:style w:type="paragraph" w:customStyle="1" w:styleId="49">
    <w:name w:val="附则"/>
    <w:basedOn w:val="1"/>
    <w:link w:val="48"/>
    <w:qFormat/>
    <w:uiPriority w:val="0"/>
    <w:pPr>
      <w:widowControl/>
      <w:ind w:firstLine="0" w:firstLineChars="0"/>
      <w:jc w:val="left"/>
      <w:outlineLvl w:val="0"/>
    </w:pPr>
    <w:rPr>
      <w:rFonts w:eastAsia="黑体"/>
      <w:b/>
      <w:szCs w:val="32"/>
    </w:rPr>
  </w:style>
  <w:style w:type="paragraph" w:customStyle="1" w:styleId="50">
    <w:name w:val="附则题目"/>
    <w:basedOn w:val="1"/>
    <w:qFormat/>
    <w:uiPriority w:val="0"/>
    <w:pPr>
      <w:spacing w:before="350" w:beforeLines="350" w:after="150" w:afterLines="150" w:line="240" w:lineRule="auto"/>
      <w:ind w:firstLine="0" w:firstLineChars="0"/>
      <w:jc w:val="center"/>
    </w:pPr>
    <w:rPr>
      <w:rFonts w:ascii="方正小标宋简体" w:hAnsi="方正小标宋简体" w:eastAsia="方正小标宋_GBK"/>
      <w:sz w:val="44"/>
    </w:rPr>
  </w:style>
  <w:style w:type="paragraph" w:customStyle="1" w:styleId="51">
    <w:name w:val="附则一级标题"/>
    <w:basedOn w:val="1"/>
    <w:qFormat/>
    <w:uiPriority w:val="0"/>
    <w:pPr>
      <w:numPr>
        <w:ilvl w:val="0"/>
        <w:numId w:val="2"/>
      </w:numPr>
      <w:spacing w:line="560" w:lineRule="exact"/>
      <w:ind w:firstLine="1040" w:firstLineChars="200"/>
    </w:pPr>
    <w:rPr>
      <w:rFonts w:ascii="黑体" w:hAnsi="黑体" w:eastAsia="黑体"/>
    </w:rPr>
  </w:style>
  <w:style w:type="paragraph" w:customStyle="1" w:styleId="52">
    <w:name w:val="附则二级标题"/>
    <w:basedOn w:val="1"/>
    <w:qFormat/>
    <w:uiPriority w:val="0"/>
    <w:pPr>
      <w:numPr>
        <w:ilvl w:val="0"/>
        <w:numId w:val="3"/>
      </w:numPr>
    </w:pPr>
    <w:rPr>
      <w:rFonts w:hint="eastAsia" w:ascii="楷体_GB2312" w:hAnsi="楷体_GB2312" w:eastAsia="楷体_GB2312" w:cs="楷体_GB2312"/>
    </w:rPr>
  </w:style>
  <w:style w:type="character" w:customStyle="1" w:styleId="53">
    <w:name w:val="font21"/>
    <w:basedOn w:val="18"/>
    <w:qFormat/>
    <w:uiPriority w:val="0"/>
    <w:rPr>
      <w:rFonts w:hint="default" w:ascii="Times New Roman" w:hAnsi="Times New Roman" w:cs="Times New Roman"/>
      <w:color w:val="000000"/>
      <w:sz w:val="24"/>
      <w:szCs w:val="24"/>
      <w:u w:val="none"/>
    </w:rPr>
  </w:style>
  <w:style w:type="character" w:customStyle="1" w:styleId="54">
    <w:name w:val="font11"/>
    <w:basedOn w:val="18"/>
    <w:qFormat/>
    <w:uiPriority w:val="0"/>
    <w:rPr>
      <w:rFonts w:hint="eastAsia" w:ascii="黑体" w:hAnsi="宋体" w:eastAsia="黑体" w:cs="黑体"/>
      <w:color w:val="000000"/>
      <w:sz w:val="24"/>
      <w:szCs w:val="24"/>
      <w:u w:val="none"/>
    </w:rPr>
  </w:style>
</w:styles>
</file>

<file path=word/_rels/document.xml.rels><?xml version="1.0" encoding="UTF-8" standalone="yes"?>
<Relationships xmlns="http://schemas.openxmlformats.org/package/2006/relationships"><Relationship Id="rId9" Type="http://schemas.openxmlformats.org/officeDocument/2006/relationships/image" Target="media/image4.jpeg"/><Relationship Id="rId8" Type="http://schemas.openxmlformats.org/officeDocument/2006/relationships/image" Target="media/image3.jpeg"/><Relationship Id="rId7" Type="http://schemas.openxmlformats.org/officeDocument/2006/relationships/image" Target="media/image2.jpeg"/><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8</Pages>
  <Words>2880</Words>
  <Characters>3079</Characters>
  <Lines>1</Lines>
  <Paragraphs>1</Paragraphs>
  <TotalTime>2</TotalTime>
  <ScaleCrop>false</ScaleCrop>
  <LinksUpToDate>false</LinksUpToDate>
  <CharactersWithSpaces>3081</CharactersWithSpaces>
  <Application>WPS Office_12.1.0.17827_F1E327BC-269C-435d-A152-05C5408002CA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2024-08-19T03:48:00Z</dcterms:created>
  <dc:creator>Administrator</dc:creator>
  <cp:lastModifiedBy>Administrator</cp:lastModifiedBy>
  <dcterms:modified xsi:type="dcterms:W3CDTF">2026-02-24T03:29:42Z</dcterms:modified>
  <cp:revision>14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2052-12.1.0.17827</vt:lpwstr>
  </property>
  <property fmtid="{D5CDD505-2E9C-101B-9397-08002B2CF9AE}" pid="3" name="ICV">
    <vt:lpwstr>3DA6075B0F174C40A72FD8091916101B_13</vt:lpwstr>
  </property>
  <property fmtid="{D5CDD505-2E9C-101B-9397-08002B2CF9AE}" pid="4" name="KSOTemplateDocerSaveRecord">
    <vt:lpwstr>eyJoZGlkIjoiOGY5YjZjNjIxNTkxNTE1MDg1YTg1ODg4MWQxYjdlNjUiLCJ1c2VySWQiOiI2MjM4NDM5NzEifQ==</vt:lpwstr>
  </property>
</Properties>
</file>