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D83BF5">
      <w:pPr>
        <w:pStyle w:val="5"/>
        <w:spacing w:before="0" w:beforeLines="0" w:after="0" w:afterLines="0"/>
        <w:jc w:val="center"/>
        <w:rPr>
          <w:sz w:val="32"/>
          <w:szCs w:val="32"/>
        </w:rPr>
      </w:pPr>
      <w:r>
        <w:rPr>
          <w:sz w:val="32"/>
          <w:szCs w:val="32"/>
        </w:rPr>
        <w:t>《</w:t>
      </w:r>
      <w:r>
        <w:rPr>
          <w:rFonts w:hint="eastAsia"/>
          <w:sz w:val="32"/>
          <w:szCs w:val="32"/>
          <w:lang w:eastAsia="zh-CN"/>
        </w:rPr>
        <w:t>井陉县</w:t>
      </w:r>
      <w:r>
        <w:rPr>
          <w:rFonts w:hint="eastAsia"/>
          <w:sz w:val="32"/>
          <w:szCs w:val="32"/>
          <w:lang w:val="en-US" w:eastAsia="zh-CN"/>
        </w:rPr>
        <w:t>测鱼</w:t>
      </w:r>
      <w:r>
        <w:rPr>
          <w:rFonts w:hint="eastAsia"/>
          <w:sz w:val="32"/>
          <w:szCs w:val="32"/>
          <w:lang w:eastAsia="zh-CN"/>
        </w:rPr>
        <w:t>镇国土空间总体规划</w:t>
      </w:r>
      <w:r>
        <w:rPr>
          <w:sz w:val="32"/>
          <w:szCs w:val="32"/>
        </w:rPr>
        <w:t>（2021-2035 年）》</w:t>
      </w:r>
    </w:p>
    <w:p w14:paraId="4EC25440">
      <w:pPr>
        <w:pStyle w:val="5"/>
        <w:spacing w:before="0" w:beforeLines="0" w:after="0" w:afterLines="0"/>
        <w:jc w:val="center"/>
        <w:rPr>
          <w:sz w:val="32"/>
          <w:szCs w:val="32"/>
        </w:rPr>
      </w:pPr>
      <w:r>
        <w:rPr>
          <w:sz w:val="32"/>
          <w:szCs w:val="32"/>
        </w:rPr>
        <w:t>批后公告</w:t>
      </w:r>
    </w:p>
    <w:p w14:paraId="1B1D1639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262" w:beforeLines="0" w:afterLines="0" w:line="360" w:lineRule="auto"/>
        <w:ind w:right="431" w:firstLine="608" w:firstLineChars="200"/>
        <w:jc w:val="both"/>
        <w:textAlignment w:val="auto"/>
        <w:rPr>
          <w:rFonts w:hint="eastAsia" w:cs="Times New Roman"/>
          <w:spacing w:val="-5"/>
          <w:w w:val="95"/>
          <w:sz w:val="32"/>
          <w:szCs w:val="24"/>
          <w:lang w:val="en-US" w:eastAsia="zh-CN"/>
        </w:rPr>
      </w:pPr>
      <w:r>
        <w:rPr>
          <w:rFonts w:hint="eastAsia"/>
          <w:w w:val="95"/>
          <w:sz w:val="32"/>
          <w:szCs w:val="24"/>
        </w:rPr>
        <w:t>《</w:t>
      </w:r>
      <w:r>
        <w:rPr>
          <w:rFonts w:hint="eastAsia"/>
          <w:w w:val="95"/>
          <w:sz w:val="32"/>
          <w:szCs w:val="24"/>
          <w:lang w:val="en-US" w:eastAsia="zh-CN"/>
        </w:rPr>
        <w:t>测鱼</w:t>
      </w:r>
      <w:r>
        <w:rPr>
          <w:rFonts w:hint="eastAsia"/>
          <w:w w:val="95"/>
          <w:sz w:val="32"/>
          <w:szCs w:val="24"/>
        </w:rPr>
        <w:t>镇国土空间总体规划（2021-2035</w:t>
      </w:r>
      <w:r>
        <w:rPr>
          <w:rFonts w:hint="eastAsia"/>
          <w:spacing w:val="16"/>
          <w:w w:val="95"/>
          <w:sz w:val="32"/>
          <w:szCs w:val="24"/>
        </w:rPr>
        <w:t>年</w:t>
      </w:r>
      <w:r>
        <w:rPr>
          <w:rFonts w:hint="eastAsia"/>
          <w:spacing w:val="-159"/>
          <w:w w:val="95"/>
          <w:sz w:val="32"/>
          <w:szCs w:val="24"/>
        </w:rPr>
        <w:t>）</w:t>
      </w:r>
      <w:r>
        <w:rPr>
          <w:rFonts w:hint="eastAsia"/>
          <w:spacing w:val="10"/>
          <w:w w:val="95"/>
          <w:sz w:val="32"/>
          <w:szCs w:val="24"/>
        </w:rPr>
        <w:t>》已于</w:t>
      </w:r>
      <w:r>
        <w:rPr>
          <w:rFonts w:hint="eastAsia"/>
          <w:w w:val="95"/>
          <w:sz w:val="32"/>
          <w:szCs w:val="24"/>
        </w:rPr>
        <w:t>2025</w:t>
      </w:r>
      <w:r>
        <w:rPr>
          <w:rFonts w:hint="eastAsia"/>
          <w:spacing w:val="18"/>
          <w:w w:val="95"/>
          <w:sz w:val="32"/>
          <w:szCs w:val="24"/>
        </w:rPr>
        <w:t>年</w:t>
      </w:r>
      <w:r>
        <w:rPr>
          <w:rFonts w:hint="eastAsia"/>
          <w:w w:val="95"/>
          <w:sz w:val="32"/>
          <w:szCs w:val="24"/>
        </w:rPr>
        <w:t>6</w:t>
      </w:r>
      <w:r>
        <w:rPr>
          <w:rFonts w:hint="eastAsia"/>
          <w:spacing w:val="18"/>
          <w:w w:val="95"/>
          <w:sz w:val="32"/>
          <w:szCs w:val="24"/>
        </w:rPr>
        <w:t>月</w:t>
      </w:r>
      <w:r>
        <w:rPr>
          <w:rFonts w:hint="eastAsia"/>
          <w:w w:val="95"/>
          <w:sz w:val="32"/>
          <w:szCs w:val="24"/>
        </w:rPr>
        <w:t>30</w:t>
      </w:r>
      <w:r>
        <w:rPr>
          <w:rFonts w:hint="eastAsia"/>
          <w:spacing w:val="-5"/>
          <w:w w:val="95"/>
          <w:sz w:val="32"/>
          <w:szCs w:val="24"/>
        </w:rPr>
        <w:t>日获</w:t>
      </w:r>
      <w:r>
        <w:rPr>
          <w:rFonts w:hint="eastAsia"/>
          <w:spacing w:val="-5"/>
          <w:w w:val="95"/>
          <w:sz w:val="32"/>
          <w:szCs w:val="24"/>
          <w:lang w:val="en-US" w:eastAsia="zh-CN"/>
        </w:rPr>
        <w:t>井陉县</w:t>
      </w:r>
      <w:r>
        <w:rPr>
          <w:rFonts w:hint="eastAsia"/>
          <w:spacing w:val="-5"/>
          <w:w w:val="95"/>
          <w:sz w:val="32"/>
          <w:szCs w:val="24"/>
        </w:rPr>
        <w:t>人民政府批准</w:t>
      </w:r>
      <w:r>
        <w:rPr>
          <w:rFonts w:hint="eastAsia"/>
          <w:w w:val="95"/>
          <w:sz w:val="32"/>
          <w:szCs w:val="24"/>
        </w:rPr>
        <w:t>（</w:t>
      </w:r>
      <w:r>
        <w:rPr>
          <w:rFonts w:hint="eastAsia"/>
          <w:w w:val="95"/>
          <w:sz w:val="32"/>
          <w:szCs w:val="24"/>
          <w:lang w:val="en-US" w:eastAsia="zh-CN"/>
        </w:rPr>
        <w:t>井</w:t>
      </w:r>
      <w:r>
        <w:rPr>
          <w:rFonts w:hint="eastAsia"/>
          <w:w w:val="95"/>
          <w:sz w:val="32"/>
          <w:szCs w:val="24"/>
        </w:rPr>
        <w:t>政[2025]</w:t>
      </w:r>
      <w:r>
        <w:rPr>
          <w:rFonts w:hint="eastAsia"/>
          <w:w w:val="95"/>
          <w:sz w:val="32"/>
          <w:szCs w:val="24"/>
          <w:lang w:val="en-US" w:eastAsia="zh-CN"/>
        </w:rPr>
        <w:t>54</w:t>
      </w:r>
      <w:r>
        <w:rPr>
          <w:rFonts w:hint="eastAsia"/>
          <w:spacing w:val="14"/>
          <w:w w:val="95"/>
          <w:sz w:val="32"/>
          <w:szCs w:val="24"/>
        </w:rPr>
        <w:t>号</w:t>
      </w:r>
      <w:r>
        <w:rPr>
          <w:rFonts w:hint="eastAsia"/>
          <w:spacing w:val="-107"/>
          <w:w w:val="95"/>
          <w:sz w:val="32"/>
          <w:szCs w:val="24"/>
        </w:rPr>
        <w:t>）</w:t>
      </w:r>
      <w:r>
        <w:rPr>
          <w:rFonts w:hint="eastAsia"/>
          <w:spacing w:val="-27"/>
          <w:w w:val="95"/>
          <w:sz w:val="32"/>
          <w:szCs w:val="24"/>
        </w:rPr>
        <w:t>，现予以</w:t>
      </w:r>
      <w:r>
        <w:rPr>
          <w:rFonts w:hint="eastAsia"/>
          <w:sz w:val="32"/>
          <w:szCs w:val="24"/>
        </w:rPr>
        <w:t>公告。为贯彻落实《中共中央国务院关于建立国土空间规划体</w:t>
      </w:r>
      <w:r>
        <w:rPr>
          <w:rFonts w:hint="eastAsia"/>
          <w:w w:val="95"/>
          <w:sz w:val="32"/>
          <w:szCs w:val="24"/>
        </w:rPr>
        <w:t>系并监督实</w:t>
      </w:r>
      <w:r>
        <w:rPr>
          <w:rFonts w:hint="eastAsia" w:cs="Times New Roman"/>
          <w:spacing w:val="-5"/>
          <w:w w:val="95"/>
          <w:sz w:val="32"/>
          <w:szCs w:val="24"/>
          <w:lang w:val="en-US" w:eastAsia="zh-CN"/>
        </w:rPr>
        <w:t>施的若干意见》《全国国土空间规划纲要（2021-2035年）》《京津冀协同发展规划纲要》《河北省国土空间规划（2021-2035年）》《石家庄市国土空间总体规划（2021-2035年）》《井陉县国土空间总体规划（2021-2035年）》各项要求，推动形成人与自然和谐共生的国土空间开发保护新格局，提升空间治理现代化水平，编制本规划。</w:t>
      </w:r>
    </w:p>
    <w:p w14:paraId="6931EDA1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580" w:firstLineChars="200"/>
        <w:jc w:val="both"/>
        <w:textAlignment w:val="auto"/>
        <w:rPr>
          <w:rFonts w:hint="eastAsia" w:cs="Times New Roman"/>
          <w:spacing w:val="-7"/>
          <w:w w:val="95"/>
          <w:sz w:val="32"/>
          <w:szCs w:val="24"/>
        </w:rPr>
      </w:pPr>
      <w:r>
        <w:rPr>
          <w:rFonts w:hint="eastAsia" w:cs="Times New Roman"/>
          <w:spacing w:val="-7"/>
          <w:w w:val="95"/>
          <w:sz w:val="32"/>
          <w:szCs w:val="24"/>
        </w:rPr>
        <w:t>现将规划主要内容公布如下：</w:t>
      </w:r>
    </w:p>
    <w:p w14:paraId="08D32C09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49" w:beforeLines="0" w:afterLines="0" w:line="360" w:lineRule="auto"/>
        <w:ind w:left="737"/>
        <w:textAlignment w:val="auto"/>
        <w:rPr>
          <w:rFonts w:hint="eastAsia" w:ascii="黑体" w:hAnsi="黑体" w:eastAsia="黑体"/>
          <w:color w:val="333333"/>
          <w:w w:val="95"/>
          <w:sz w:val="32"/>
          <w:szCs w:val="24"/>
        </w:rPr>
      </w:pPr>
      <w:r>
        <w:rPr>
          <w:rFonts w:hint="eastAsia" w:ascii="黑体" w:hAnsi="黑体" w:eastAsia="黑体"/>
          <w:color w:val="333333"/>
          <w:w w:val="95"/>
          <w:sz w:val="32"/>
          <w:szCs w:val="24"/>
        </w:rPr>
        <w:t>一、规划范围</w:t>
      </w:r>
    </w:p>
    <w:p w14:paraId="78E95589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432" w:firstLine="580" w:firstLineChars="200"/>
        <w:jc w:val="both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-7"/>
          <w:w w:val="95"/>
          <w:sz w:val="32"/>
          <w:szCs w:val="24"/>
        </w:rPr>
        <w:t>本规划分为镇域和镇政府驻地两个层次。镇域为</w:t>
      </w:r>
      <w:r>
        <w:rPr>
          <w:rFonts w:hint="eastAsia"/>
          <w:spacing w:val="-7"/>
          <w:w w:val="95"/>
          <w:sz w:val="32"/>
          <w:szCs w:val="24"/>
          <w:lang w:val="en-US" w:eastAsia="zh-CN"/>
        </w:rPr>
        <w:t>测鱼</w:t>
      </w:r>
      <w:r>
        <w:rPr>
          <w:rFonts w:hint="eastAsia"/>
          <w:spacing w:val="-7"/>
          <w:w w:val="95"/>
          <w:sz w:val="32"/>
          <w:szCs w:val="24"/>
        </w:rPr>
        <w:t>镇行政</w:t>
      </w:r>
      <w:r>
        <w:rPr>
          <w:rFonts w:hint="eastAsia"/>
          <w:spacing w:val="7"/>
          <w:w w:val="95"/>
          <w:sz w:val="32"/>
          <w:szCs w:val="24"/>
        </w:rPr>
        <w:t>辖区范围，面积</w:t>
      </w:r>
      <w:r>
        <w:rPr>
          <w:rFonts w:hint="eastAsia"/>
          <w:spacing w:val="7"/>
          <w:w w:val="95"/>
          <w:sz w:val="32"/>
          <w:szCs w:val="24"/>
          <w:lang w:val="en-US" w:eastAsia="zh-CN"/>
        </w:rPr>
        <w:t>167.93</w:t>
      </w:r>
      <w:r>
        <w:rPr>
          <w:rFonts w:hint="eastAsia"/>
          <w:w w:val="95"/>
          <w:sz w:val="32"/>
          <w:szCs w:val="24"/>
        </w:rPr>
        <w:t>平方公里。镇</w:t>
      </w:r>
      <w:r>
        <w:rPr>
          <w:rFonts w:hint="eastAsia"/>
          <w:spacing w:val="-7"/>
          <w:w w:val="95"/>
          <w:sz w:val="32"/>
          <w:szCs w:val="24"/>
        </w:rPr>
        <w:t>政府驻地，面积</w:t>
      </w:r>
      <w:r>
        <w:rPr>
          <w:rFonts w:hint="eastAsia"/>
          <w:spacing w:val="-7"/>
          <w:w w:val="95"/>
          <w:sz w:val="32"/>
          <w:szCs w:val="24"/>
          <w:lang w:val="en-US" w:eastAsia="zh-CN"/>
        </w:rPr>
        <w:t xml:space="preserve"> 0.27</w:t>
      </w:r>
      <w:r>
        <w:rPr>
          <w:rFonts w:hint="eastAsia"/>
          <w:sz w:val="32"/>
          <w:szCs w:val="24"/>
        </w:rPr>
        <w:t>平方公里。</w:t>
      </w:r>
    </w:p>
    <w:p w14:paraId="44AA29C9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3" w:beforeLines="0" w:afterLines="0" w:line="360" w:lineRule="auto"/>
        <w:ind w:left="737"/>
        <w:textAlignment w:val="auto"/>
        <w:rPr>
          <w:rFonts w:hint="eastAsia" w:ascii="黑体" w:hAnsi="黑体" w:eastAsia="黑体"/>
          <w:color w:val="333333"/>
          <w:w w:val="95"/>
          <w:sz w:val="32"/>
          <w:szCs w:val="24"/>
        </w:rPr>
      </w:pPr>
      <w:r>
        <w:rPr>
          <w:rFonts w:hint="eastAsia" w:ascii="黑体" w:hAnsi="黑体" w:eastAsia="黑体"/>
          <w:color w:val="333333"/>
          <w:w w:val="95"/>
          <w:sz w:val="32"/>
          <w:szCs w:val="24"/>
        </w:rPr>
        <w:t>二、规划期限</w:t>
      </w:r>
    </w:p>
    <w:p w14:paraId="5839C781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580" w:firstLineChars="200"/>
        <w:jc w:val="both"/>
        <w:textAlignment w:val="auto"/>
        <w:rPr>
          <w:rFonts w:hint="eastAsia" w:cs="Times New Roman"/>
          <w:spacing w:val="-7"/>
          <w:w w:val="95"/>
          <w:sz w:val="32"/>
          <w:szCs w:val="24"/>
        </w:rPr>
      </w:pPr>
      <w:r>
        <w:rPr>
          <w:rFonts w:hint="eastAsia" w:cs="Times New Roman"/>
          <w:spacing w:val="-7"/>
          <w:w w:val="95"/>
          <w:sz w:val="32"/>
          <w:szCs w:val="24"/>
        </w:rPr>
        <w:t>规划基期年为2020年，规划期限为2021-2035年，近期至2025年，远景展望至2050年。</w:t>
      </w:r>
    </w:p>
    <w:p w14:paraId="790681C6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50" w:beforeLines="0" w:afterLines="0" w:line="360" w:lineRule="auto"/>
        <w:ind w:left="737"/>
        <w:textAlignment w:val="auto"/>
        <w:rPr>
          <w:rFonts w:hint="eastAsia" w:ascii="黑体" w:hAnsi="黑体" w:eastAsia="黑体"/>
          <w:color w:val="333333"/>
          <w:w w:val="95"/>
          <w:sz w:val="32"/>
          <w:szCs w:val="24"/>
        </w:rPr>
      </w:pPr>
      <w:r>
        <w:rPr>
          <w:rFonts w:hint="eastAsia" w:ascii="黑体" w:hAnsi="黑体" w:eastAsia="黑体"/>
          <w:color w:val="333333"/>
          <w:w w:val="95"/>
          <w:sz w:val="32"/>
          <w:szCs w:val="24"/>
        </w:rPr>
        <w:t>三、规划定位</w:t>
      </w:r>
    </w:p>
    <w:p w14:paraId="78663083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49" w:beforeLines="0" w:afterLines="0" w:line="360" w:lineRule="auto"/>
        <w:ind w:left="106" w:right="433" w:firstLine="640"/>
        <w:textAlignment w:val="auto"/>
        <w:rPr>
          <w:rFonts w:hint="eastAsia"/>
          <w:sz w:val="32"/>
          <w:szCs w:val="24"/>
        </w:rPr>
      </w:pPr>
      <w:r>
        <w:rPr>
          <w:rFonts w:hint="eastAsia" w:ascii="仿宋_GB2312" w:hAnsi="Times New Roman" w:eastAsia="仿宋_GB2312" w:cs="Times New Roman"/>
          <w:color w:val="auto"/>
          <w:highlight w:val="none"/>
          <w:lang w:val="en-US" w:eastAsia="zh-CN"/>
        </w:rPr>
        <w:t>坚持“筑基、强业、兴镇”的发展思路，发挥旅游产业特色，壮大现代农业和设施农业，将测鱼镇建设为</w:t>
      </w:r>
      <w:r>
        <w:rPr>
          <w:rFonts w:hint="eastAsia" w:ascii="仿宋_GB2312" w:eastAsia="仿宋_GB2312" w:cs="Times New Roman"/>
          <w:color w:val="auto"/>
          <w:highlight w:val="none"/>
          <w:lang w:val="en-US" w:eastAsia="zh-CN"/>
        </w:rPr>
        <w:t>太行山生态涵养区、京津冀康养度假旅游目的地</w:t>
      </w:r>
      <w:r>
        <w:rPr>
          <w:rFonts w:hint="eastAsia" w:ascii="仿宋_GB2312" w:hAnsi="Times New Roman" w:eastAsia="仿宋_GB2312" w:cs="Times New Roman"/>
          <w:color w:val="auto"/>
          <w:highlight w:val="none"/>
          <w:lang w:val="en-US" w:eastAsia="zh-CN"/>
        </w:rPr>
        <w:t>。</w:t>
      </w:r>
    </w:p>
    <w:p w14:paraId="342D72EC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737"/>
        <w:textAlignment w:val="auto"/>
        <w:rPr>
          <w:rFonts w:hint="eastAsia" w:ascii="黑体" w:hAnsi="黑体" w:eastAsia="黑体"/>
          <w:color w:val="333333"/>
          <w:w w:val="95"/>
          <w:sz w:val="32"/>
          <w:szCs w:val="24"/>
        </w:rPr>
      </w:pPr>
      <w:r>
        <w:rPr>
          <w:rFonts w:hint="eastAsia" w:ascii="黑体" w:hAnsi="黑体" w:eastAsia="黑体"/>
          <w:color w:val="333333"/>
          <w:w w:val="95"/>
          <w:sz w:val="32"/>
          <w:szCs w:val="24"/>
        </w:rPr>
        <w:t>四、规划目标</w:t>
      </w:r>
    </w:p>
    <w:p w14:paraId="68132182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49" w:beforeLines="0" w:afterLines="0" w:line="360" w:lineRule="auto"/>
        <w:ind w:left="106" w:right="433" w:firstLine="640"/>
        <w:jc w:val="both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57"/>
          <w:w w:val="95"/>
          <w:sz w:val="32"/>
          <w:szCs w:val="24"/>
        </w:rPr>
        <w:t>到</w:t>
      </w:r>
      <w:r>
        <w:rPr>
          <w:rFonts w:hint="eastAsia"/>
          <w:w w:val="95"/>
          <w:sz w:val="32"/>
          <w:szCs w:val="24"/>
        </w:rPr>
        <w:t>2025年，空间管制控制线全面落地；山水林田湖草沙一体化保护得到落实；城乡融合度显著提升,城乡发展格局基本奠</w:t>
      </w:r>
      <w:r>
        <w:rPr>
          <w:rFonts w:hint="eastAsia"/>
          <w:sz w:val="32"/>
          <w:szCs w:val="24"/>
        </w:rPr>
        <w:t>定;国土空间保护、利用、治理和修复水平明显提升。</w:t>
      </w:r>
    </w:p>
    <w:p w14:paraId="0DD54273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56"/>
          <w:w w:val="95"/>
          <w:sz w:val="32"/>
          <w:szCs w:val="24"/>
        </w:rPr>
        <w:t>到</w:t>
      </w:r>
      <w:r>
        <w:rPr>
          <w:rFonts w:hint="eastAsia"/>
          <w:w w:val="95"/>
          <w:sz w:val="32"/>
          <w:szCs w:val="24"/>
        </w:rPr>
        <w:t>2035年，全面提升国土空间治理体系和治理能力现代化水平，基本形成生产空间集约高效、生活空间宜居适度、生态空</w:t>
      </w:r>
      <w:r>
        <w:rPr>
          <w:rFonts w:hint="eastAsia"/>
          <w:spacing w:val="-10"/>
          <w:w w:val="95"/>
          <w:sz w:val="32"/>
          <w:szCs w:val="24"/>
        </w:rPr>
        <w:t>间安全和谐、富有竞争力和可持续发展的国土空间格局，并将</w:t>
      </w:r>
      <w:r>
        <w:rPr>
          <w:rFonts w:hint="eastAsia"/>
          <w:spacing w:val="-10"/>
          <w:w w:val="95"/>
          <w:sz w:val="32"/>
          <w:szCs w:val="24"/>
          <w:lang w:eastAsia="zh-CN"/>
        </w:rPr>
        <w:t>测鱼</w:t>
      </w:r>
      <w:r>
        <w:rPr>
          <w:rFonts w:hint="eastAsia"/>
          <w:sz w:val="32"/>
          <w:szCs w:val="24"/>
        </w:rPr>
        <w:t>镇打造成为宜居、宜业的现代化精品乡镇。</w:t>
      </w:r>
    </w:p>
    <w:p w14:paraId="4AE98D86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3" w:firstLine="641"/>
        <w:jc w:val="both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57"/>
          <w:w w:val="95"/>
          <w:sz w:val="32"/>
          <w:szCs w:val="24"/>
        </w:rPr>
        <w:t>到</w:t>
      </w:r>
      <w:r>
        <w:rPr>
          <w:rFonts w:hint="eastAsia"/>
          <w:w w:val="95"/>
          <w:sz w:val="32"/>
          <w:szCs w:val="24"/>
        </w:rPr>
        <w:t>2050年，全面建成富有活力、经济繁荣、特色鲜明的高</w:t>
      </w:r>
      <w:r>
        <w:rPr>
          <w:rFonts w:hint="eastAsia"/>
          <w:sz w:val="32"/>
          <w:szCs w:val="24"/>
        </w:rPr>
        <w:t>质量发展示范镇。</w:t>
      </w:r>
    </w:p>
    <w:p w14:paraId="7F123841">
      <w:pPr>
        <w:pStyle w:val="2"/>
        <w:keepNext w:val="0"/>
        <w:keepLines w:val="0"/>
        <w:pageBreakBefore w:val="0"/>
        <w:widowControl w:val="0"/>
        <w:numPr>
          <w:numId w:val="0"/>
        </w:numPr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firstLine="640" w:firstLineChars="200"/>
        <w:textAlignment w:val="auto"/>
        <w:rPr>
          <w:rFonts w:hint="eastAsia" w:ascii="黑体" w:hAnsi="黑体" w:eastAsia="黑体"/>
          <w:sz w:val="32"/>
          <w:szCs w:val="24"/>
        </w:rPr>
      </w:pPr>
      <w:r>
        <w:rPr>
          <w:rFonts w:hint="eastAsia" w:ascii="黑体" w:hAnsi="黑体" w:eastAsia="黑体"/>
          <w:sz w:val="32"/>
          <w:szCs w:val="24"/>
          <w:lang w:val="en-US" w:eastAsia="zh-CN"/>
        </w:rPr>
        <w:t>五、</w:t>
      </w:r>
      <w:r>
        <w:rPr>
          <w:rFonts w:hint="eastAsia" w:ascii="黑体" w:hAnsi="黑体" w:eastAsia="黑体"/>
          <w:sz w:val="32"/>
          <w:szCs w:val="24"/>
        </w:rPr>
        <w:t>落实“三区三线”</w:t>
      </w:r>
    </w:p>
    <w:p w14:paraId="3FE11C36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firstLine="564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color w:val="333333"/>
          <w:spacing w:val="-11"/>
          <w:w w:val="95"/>
          <w:sz w:val="32"/>
          <w:szCs w:val="24"/>
          <w:u w:val="none"/>
        </w:rPr>
        <w:t>筑牢国土空间底线，</w:t>
      </w:r>
      <w:r>
        <w:rPr>
          <w:rFonts w:hint="eastAsia"/>
          <w:color w:val="333333"/>
          <w:spacing w:val="-11"/>
          <w:w w:val="95"/>
          <w:sz w:val="32"/>
          <w:szCs w:val="24"/>
          <w:u w:val="none"/>
          <w:lang w:eastAsia="zh-CN"/>
        </w:rPr>
        <w:t>测鱼</w:t>
      </w:r>
      <w:r>
        <w:rPr>
          <w:rFonts w:hint="eastAsia"/>
          <w:color w:val="333333"/>
          <w:spacing w:val="-11"/>
          <w:w w:val="95"/>
          <w:sz w:val="32"/>
          <w:szCs w:val="24"/>
          <w:u w:val="none"/>
        </w:rPr>
        <w:t>镇</w:t>
      </w:r>
      <w:r>
        <w:rPr>
          <w:rFonts w:hint="eastAsia" w:ascii="仿宋_GB2312" w:hAnsi="仿宋_GB2312" w:eastAsia="仿宋_GB2312" w:cs="仿宋_GB2312"/>
          <w:bCs/>
          <w:color w:val="auto"/>
          <w:kern w:val="2"/>
          <w:sz w:val="32"/>
          <w:szCs w:val="32"/>
          <w:highlight w:val="none"/>
          <w:u w:val="none"/>
          <w:lang w:val="en-US" w:eastAsia="zh-CN" w:bidi="ar-SA"/>
        </w:rPr>
        <w:t>生态红线面积11375.61公顷，</w:t>
      </w:r>
      <w:r>
        <w:rPr>
          <w:rFonts w:hint="eastAsia"/>
          <w:color w:val="000000"/>
          <w:spacing w:val="14"/>
          <w:w w:val="95"/>
          <w:sz w:val="32"/>
          <w:szCs w:val="24"/>
          <w:u w:val="none"/>
        </w:rPr>
        <w:t>耕地保有量不低于</w:t>
      </w:r>
      <w:r>
        <w:rPr>
          <w:rFonts w:hint="eastAsia" w:ascii="仿宋_GB2312" w:hAnsi="仿宋_GB2312" w:eastAsia="仿宋_GB2312" w:cs="仿宋_GB2312"/>
          <w:color w:val="auto"/>
          <w:szCs w:val="32"/>
          <w:highlight w:val="none"/>
          <w:u w:val="none"/>
          <w:lang w:val="en-US" w:eastAsia="zh-CN"/>
        </w:rPr>
        <w:t>1099.76公顷（1.65万亩）</w:t>
      </w:r>
      <w:r>
        <w:rPr>
          <w:rFonts w:hint="eastAsia"/>
          <w:spacing w:val="-7"/>
          <w:w w:val="95"/>
          <w:sz w:val="32"/>
          <w:szCs w:val="24"/>
          <w:u w:val="none"/>
        </w:rPr>
        <w:t>，其中永久基本农田保护面积不低于</w:t>
      </w:r>
      <w:r>
        <w:rPr>
          <w:rFonts w:hint="eastAsia" w:ascii="仿宋_GB2312" w:hAnsi="仿宋_GB2312" w:eastAsia="仿宋_GB2312" w:cs="仿宋_GB2312"/>
          <w:color w:val="auto"/>
          <w:szCs w:val="32"/>
          <w:highlight w:val="none"/>
          <w:u w:val="none"/>
          <w:lang w:val="en-US" w:eastAsia="zh-CN"/>
        </w:rPr>
        <w:t>1017.41公顷（1.526万亩）</w:t>
      </w:r>
      <w:r>
        <w:rPr>
          <w:rFonts w:hint="eastAsia"/>
          <w:w w:val="99"/>
          <w:sz w:val="32"/>
          <w:szCs w:val="24"/>
          <w:u w:val="none"/>
        </w:rPr>
        <w:t>，城镇开发边界规模为</w:t>
      </w:r>
      <w:r>
        <w:rPr>
          <w:rFonts w:hint="eastAsia"/>
          <w:spacing w:val="1"/>
          <w:w w:val="99"/>
          <w:sz w:val="32"/>
          <w:szCs w:val="24"/>
          <w:u w:val="none"/>
          <w:lang w:val="en-US" w:eastAsia="zh-CN"/>
        </w:rPr>
        <w:t>26.55</w:t>
      </w:r>
      <w:r>
        <w:rPr>
          <w:rFonts w:hint="eastAsia"/>
          <w:w w:val="99"/>
          <w:sz w:val="32"/>
          <w:szCs w:val="24"/>
          <w:u w:val="none"/>
        </w:rPr>
        <w:t>公顷。</w:t>
      </w:r>
    </w:p>
    <w:p w14:paraId="03C1E103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737"/>
        <w:textAlignment w:val="auto"/>
        <w:rPr>
          <w:rFonts w:hint="eastAsia" w:ascii="黑体" w:hAnsi="黑体" w:eastAsia="黑体"/>
          <w:sz w:val="23"/>
          <w:szCs w:val="24"/>
        </w:rPr>
      </w:pPr>
      <w:r>
        <w:rPr>
          <w:rFonts w:hint="eastAsia" w:ascii="黑体" w:hAnsi="黑体" w:eastAsia="黑体"/>
          <w:sz w:val="32"/>
          <w:szCs w:val="24"/>
        </w:rPr>
        <w:t>六、落实主体功能区布局</w:t>
      </w:r>
    </w:p>
    <w:p w14:paraId="00FC056A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433" w:firstLine="640"/>
        <w:jc w:val="both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-7"/>
          <w:w w:val="95"/>
          <w:sz w:val="32"/>
          <w:szCs w:val="24"/>
        </w:rPr>
        <w:t>落实县级总规对</w:t>
      </w:r>
      <w:r>
        <w:rPr>
          <w:rFonts w:hint="eastAsia"/>
          <w:spacing w:val="-7"/>
          <w:w w:val="95"/>
          <w:sz w:val="32"/>
          <w:szCs w:val="24"/>
          <w:lang w:eastAsia="zh-CN"/>
        </w:rPr>
        <w:t>测鱼</w:t>
      </w:r>
      <w:r>
        <w:rPr>
          <w:rFonts w:hint="eastAsia"/>
          <w:spacing w:val="-7"/>
          <w:w w:val="95"/>
          <w:sz w:val="32"/>
          <w:szCs w:val="24"/>
        </w:rPr>
        <w:t>镇的主体功能定位，</w:t>
      </w:r>
      <w:r>
        <w:rPr>
          <w:rFonts w:hint="eastAsia"/>
          <w:spacing w:val="-7"/>
          <w:w w:val="95"/>
          <w:sz w:val="32"/>
          <w:szCs w:val="24"/>
          <w:lang w:eastAsia="zh-CN"/>
        </w:rPr>
        <w:t>测鱼</w:t>
      </w:r>
      <w:r>
        <w:rPr>
          <w:rFonts w:hint="eastAsia"/>
          <w:spacing w:val="-7"/>
          <w:w w:val="95"/>
          <w:sz w:val="32"/>
          <w:szCs w:val="24"/>
        </w:rPr>
        <w:t>镇为</w:t>
      </w:r>
      <w:r>
        <w:rPr>
          <w:rFonts w:hint="eastAsia" w:ascii="仿宋_GB2312" w:hAnsi="仿宋_GB2312" w:eastAsia="仿宋_GB2312" w:cs="仿宋_GB2312"/>
          <w:color w:val="auto"/>
          <w:szCs w:val="32"/>
          <w:highlight w:val="none"/>
          <w:lang w:val="en-US" w:eastAsia="zh-CN"/>
        </w:rPr>
        <w:t>重点生态功能区</w:t>
      </w:r>
      <w:r>
        <w:rPr>
          <w:rFonts w:hint="eastAsia"/>
          <w:w w:val="95"/>
          <w:sz w:val="32"/>
          <w:szCs w:val="24"/>
        </w:rPr>
        <w:t>。</w:t>
      </w:r>
      <w:r>
        <w:rPr>
          <w:rFonts w:hint="eastAsia" w:ascii="仿宋_GB2312" w:hAnsi="仿宋_GB2312" w:eastAsia="仿宋_GB2312" w:cs="仿宋_GB2312"/>
          <w:color w:val="auto"/>
          <w:szCs w:val="32"/>
          <w:highlight w:val="none"/>
          <w:lang w:val="en-US" w:eastAsia="zh-CN"/>
        </w:rPr>
        <w:t>重点加强水源地保护，保护自然植被，提升水源涵养与水土保持功能。加大生态修复力度，推进造林绿化，湿地和草地保护修复等生态功能，提升“林草”质量。适度发展文化旅游、休闲度假、康复保健等生态休闲产业</w:t>
      </w:r>
      <w:r>
        <w:rPr>
          <w:rFonts w:hint="eastAsia"/>
          <w:sz w:val="32"/>
          <w:szCs w:val="24"/>
        </w:rPr>
        <w:t>。</w:t>
      </w:r>
    </w:p>
    <w:p w14:paraId="25E12FA1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54" w:beforeLines="0" w:afterLines="0" w:line="360" w:lineRule="auto"/>
        <w:ind w:left="747"/>
        <w:textAlignment w:val="auto"/>
        <w:rPr>
          <w:rFonts w:hint="eastAsia"/>
          <w:sz w:val="32"/>
          <w:szCs w:val="24"/>
        </w:rPr>
      </w:pPr>
      <w:r>
        <w:rPr>
          <w:rFonts w:hint="eastAsia" w:ascii="黑体" w:hAnsi="黑体" w:eastAsia="黑体"/>
          <w:sz w:val="32"/>
          <w:szCs w:val="24"/>
        </w:rPr>
        <w:t>七、国土空间开发保护总体格局</w:t>
      </w:r>
    </w:p>
    <w:p w14:paraId="030B94E7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 w:cs="Times New Roman"/>
          <w:spacing w:val="-7"/>
          <w:w w:val="95"/>
          <w:sz w:val="32"/>
          <w:szCs w:val="24"/>
          <w:lang w:val="en-US" w:eastAsia="zh-CN"/>
        </w:rPr>
      </w:pPr>
      <w:r>
        <w:rPr>
          <w:rFonts w:hint="eastAsia" w:cs="Times New Roman"/>
          <w:spacing w:val="-7"/>
          <w:w w:val="95"/>
          <w:sz w:val="32"/>
          <w:szCs w:val="24"/>
          <w:lang w:val="en-US" w:eastAsia="zh-CN"/>
        </w:rPr>
        <w:t>规划构建“一核、一带、一区”的国土空间保护开发总体格局。</w:t>
      </w:r>
    </w:p>
    <w:p w14:paraId="4234A263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 w:cs="Times New Roman"/>
          <w:spacing w:val="-7"/>
          <w:w w:val="95"/>
          <w:sz w:val="32"/>
          <w:szCs w:val="24"/>
          <w:lang w:val="en-US" w:eastAsia="zh-CN"/>
        </w:rPr>
      </w:pPr>
      <w:r>
        <w:rPr>
          <w:rFonts w:hint="eastAsia" w:cs="Times New Roman"/>
          <w:spacing w:val="-7"/>
          <w:w w:val="95"/>
          <w:sz w:val="32"/>
          <w:szCs w:val="24"/>
          <w:lang w:val="en-US" w:eastAsia="zh-CN"/>
        </w:rPr>
        <w:t>一核：测鱼镇政府驻地，为全镇综合服务中心，提升公共服务功能；</w:t>
      </w:r>
    </w:p>
    <w:p w14:paraId="3537305E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 w:cs="Times New Roman"/>
          <w:spacing w:val="-7"/>
          <w:w w:val="95"/>
          <w:sz w:val="32"/>
          <w:szCs w:val="24"/>
          <w:lang w:val="en-US" w:eastAsia="zh-CN"/>
        </w:rPr>
      </w:pPr>
      <w:r>
        <w:rPr>
          <w:rFonts w:hint="eastAsia" w:cs="Times New Roman"/>
          <w:spacing w:val="-7"/>
          <w:w w:val="95"/>
          <w:sz w:val="32"/>
          <w:szCs w:val="24"/>
          <w:lang w:val="en-US" w:eastAsia="zh-CN"/>
        </w:rPr>
        <w:t>一带：依托甘陶河构建甘陶河生态带，是全镇重要的生态中轴与水网骨架，重点加强生态带沿线重要水空间的生态保护与修复，开展流域综合治理，提升生态环境质量；</w:t>
      </w:r>
    </w:p>
    <w:p w14:paraId="4F6BE2F5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/>
          <w:sz w:val="32"/>
          <w:szCs w:val="24"/>
        </w:rPr>
      </w:pPr>
      <w:r>
        <w:rPr>
          <w:rFonts w:hint="eastAsia" w:cs="Times New Roman"/>
          <w:spacing w:val="-7"/>
          <w:w w:val="95"/>
          <w:sz w:val="32"/>
          <w:szCs w:val="24"/>
          <w:lang w:val="en-US" w:eastAsia="zh-CN"/>
        </w:rPr>
        <w:t>一区：结合自然地理特征与资源本底条件，测鱼镇全域为生态涵养功能区，针对生态涵养功能区重点开展国土绿化、矿山综合治理等生态系统修复工程，改善水土流失，提高水源涵养能力，保护生物多样性。</w:t>
      </w:r>
    </w:p>
    <w:p w14:paraId="09BED357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747"/>
        <w:textAlignment w:val="auto"/>
        <w:rPr>
          <w:rFonts w:hint="eastAsia" w:ascii="黑体" w:hAnsi="黑体" w:eastAsia="黑体"/>
          <w:sz w:val="32"/>
          <w:szCs w:val="24"/>
        </w:rPr>
      </w:pPr>
      <w:r>
        <w:rPr>
          <w:rFonts w:hint="eastAsia" w:ascii="黑体" w:hAnsi="黑体" w:eastAsia="黑体"/>
          <w:sz w:val="32"/>
          <w:szCs w:val="24"/>
        </w:rPr>
        <w:t>八、国土空间规划分区和功能结构</w:t>
      </w:r>
    </w:p>
    <w:p w14:paraId="6F4097DF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 w:cs="Times New Roman"/>
          <w:spacing w:val="-7"/>
          <w:w w:val="95"/>
          <w:sz w:val="32"/>
          <w:szCs w:val="24"/>
          <w:lang w:val="en-US" w:eastAsia="zh-CN"/>
        </w:rPr>
      </w:pPr>
      <w:r>
        <w:rPr>
          <w:rFonts w:hint="eastAsia" w:cs="Times New Roman"/>
          <w:spacing w:val="-7"/>
          <w:w w:val="95"/>
          <w:sz w:val="32"/>
          <w:szCs w:val="24"/>
          <w:lang w:val="en-US" w:eastAsia="zh-CN"/>
        </w:rPr>
        <w:t>按照主体功能定位和空间治理要求，落实井陉县国土空间规划分区，将全镇划分为生态保护区、生态控制区、农田保护区、城镇发展区、乡村发展区五类一级分区，并细化城镇发展区和乡村发展区至二级分区。严格落实县级规划确定的各类约束性指标，以资源利用为主导方式，遵循城乡统筹、地上地下空间统筹的基本原则，统筹安排各类用地。</w:t>
      </w:r>
    </w:p>
    <w:p w14:paraId="6C3522F3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747"/>
        <w:textAlignment w:val="auto"/>
        <w:rPr>
          <w:rFonts w:hint="eastAsia" w:ascii="黑体" w:hAnsi="黑体" w:eastAsia="黑体" w:cs="Times New Roman"/>
          <w:sz w:val="32"/>
          <w:szCs w:val="24"/>
        </w:rPr>
      </w:pPr>
      <w:r>
        <w:rPr>
          <w:rFonts w:hint="eastAsia" w:ascii="黑体" w:hAnsi="黑体" w:eastAsia="黑体" w:cs="Times New Roman"/>
          <w:sz w:val="32"/>
          <w:szCs w:val="24"/>
        </w:rPr>
        <w:t>九、优化城乡布局</w:t>
      </w:r>
    </w:p>
    <w:p w14:paraId="61CB7036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97" w:firstLine="640"/>
        <w:jc w:val="both"/>
        <w:textAlignment w:val="auto"/>
        <w:rPr>
          <w:rFonts w:hint="eastAsia"/>
          <w:spacing w:val="-13"/>
          <w:w w:val="95"/>
          <w:sz w:val="32"/>
          <w:szCs w:val="24"/>
        </w:rPr>
      </w:pPr>
      <w:r>
        <w:rPr>
          <w:rFonts w:hint="eastAsia"/>
          <w:spacing w:val="-4"/>
          <w:sz w:val="32"/>
          <w:szCs w:val="24"/>
        </w:rPr>
        <w:t>按照“做特小镇、做美乡村”的总体思路，提升镇政府驻地综合服务能力，促进美丽乡村建设，构建“镇政府驻地-中心村-</w:t>
      </w:r>
      <w:r>
        <w:rPr>
          <w:rFonts w:hint="eastAsia"/>
          <w:spacing w:val="3"/>
          <w:w w:val="95"/>
          <w:sz w:val="32"/>
          <w:szCs w:val="24"/>
        </w:rPr>
        <w:t>基层村”三级居民点体系，包括</w:t>
      </w:r>
      <w:r>
        <w:rPr>
          <w:rFonts w:hint="eastAsia"/>
          <w:w w:val="95"/>
          <w:sz w:val="32"/>
          <w:szCs w:val="24"/>
        </w:rPr>
        <w:t>1</w:t>
      </w:r>
      <w:r>
        <w:rPr>
          <w:rFonts w:hint="eastAsia"/>
          <w:spacing w:val="7"/>
          <w:w w:val="95"/>
          <w:sz w:val="32"/>
          <w:szCs w:val="24"/>
        </w:rPr>
        <w:t>个镇政府驻地、</w:t>
      </w:r>
      <w:r>
        <w:rPr>
          <w:rFonts w:hint="eastAsia"/>
          <w:w w:val="95"/>
          <w:sz w:val="32"/>
          <w:szCs w:val="24"/>
          <w:lang w:val="en-US" w:eastAsia="zh-CN"/>
        </w:rPr>
        <w:t>1</w:t>
      </w:r>
      <w:bookmarkStart w:id="0" w:name="_GoBack"/>
      <w:bookmarkEnd w:id="0"/>
      <w:r>
        <w:rPr>
          <w:rFonts w:hint="eastAsia"/>
          <w:spacing w:val="10"/>
          <w:w w:val="95"/>
          <w:sz w:val="32"/>
          <w:szCs w:val="24"/>
        </w:rPr>
        <w:t>个中心村、</w:t>
      </w:r>
      <w:r>
        <w:rPr>
          <w:rFonts w:hint="eastAsia"/>
          <w:w w:val="95"/>
          <w:sz w:val="32"/>
          <w:szCs w:val="24"/>
        </w:rPr>
        <w:t>1</w:t>
      </w:r>
      <w:r>
        <w:rPr>
          <w:rFonts w:hint="eastAsia"/>
          <w:w w:val="95"/>
          <w:sz w:val="32"/>
          <w:szCs w:val="24"/>
          <w:lang w:val="en-US" w:eastAsia="zh-CN"/>
        </w:rPr>
        <w:t>7</w:t>
      </w:r>
      <w:r>
        <w:rPr>
          <w:rFonts w:hint="eastAsia"/>
          <w:spacing w:val="-13"/>
          <w:w w:val="95"/>
          <w:sz w:val="32"/>
          <w:szCs w:val="24"/>
        </w:rPr>
        <w:t>个基层村。</w:t>
      </w:r>
    </w:p>
    <w:p w14:paraId="33629950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54" w:beforeLines="0" w:afterLines="0" w:line="360" w:lineRule="auto"/>
        <w:ind w:left="108" w:right="112" w:firstLine="641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-10"/>
          <w:w w:val="95"/>
          <w:sz w:val="32"/>
          <w:szCs w:val="24"/>
        </w:rPr>
        <w:t>强化镇驻地综合服务功能。镇政府驻地是全镇综合服务中心，</w:t>
      </w:r>
      <w:r>
        <w:rPr>
          <w:rFonts w:hint="eastAsia"/>
          <w:sz w:val="32"/>
          <w:szCs w:val="24"/>
        </w:rPr>
        <w:t>重点应补齐镇级公共服务设施短板，提升人居环境和风貌品质，</w:t>
      </w:r>
      <w:r>
        <w:rPr>
          <w:rFonts w:hint="eastAsia"/>
          <w:spacing w:val="-9"/>
          <w:sz w:val="32"/>
          <w:szCs w:val="24"/>
        </w:rPr>
        <w:t>增强基础设施综合承载能力，提高镇政府驻地作为全镇的核心载</w:t>
      </w:r>
      <w:r>
        <w:rPr>
          <w:rFonts w:hint="eastAsia"/>
          <w:sz w:val="32"/>
          <w:szCs w:val="24"/>
        </w:rPr>
        <w:t>体作用。</w:t>
      </w:r>
    </w:p>
    <w:p w14:paraId="6AA4E5F9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-10"/>
          <w:w w:val="95"/>
          <w:sz w:val="32"/>
          <w:szCs w:val="24"/>
        </w:rPr>
        <w:t>提升中心村周边联动能力。提升中心村对周边村庄的辐射带</w:t>
      </w:r>
      <w:r>
        <w:rPr>
          <w:rFonts w:hint="eastAsia"/>
          <w:spacing w:val="-11"/>
          <w:w w:val="95"/>
          <w:sz w:val="32"/>
          <w:szCs w:val="24"/>
        </w:rPr>
        <w:t>动能力。规划村级公共服务设施优先向中心村配置，预留服务设</w:t>
      </w:r>
      <w:r>
        <w:rPr>
          <w:rFonts w:hint="eastAsia"/>
          <w:w w:val="95"/>
          <w:sz w:val="32"/>
          <w:szCs w:val="24"/>
        </w:rPr>
        <w:t>施用地。重点补齐教育、医疗、文化、体育等基本服务短板，适</w:t>
      </w:r>
      <w:r>
        <w:rPr>
          <w:rFonts w:hint="eastAsia"/>
          <w:spacing w:val="-9"/>
          <w:w w:val="95"/>
          <w:sz w:val="32"/>
          <w:szCs w:val="24"/>
        </w:rPr>
        <w:t>当提升设施配置标准，培育村庄特色产业，加强对周边乡村服务</w:t>
      </w:r>
      <w:r>
        <w:rPr>
          <w:rFonts w:hint="eastAsia"/>
          <w:sz w:val="32"/>
          <w:szCs w:val="24"/>
        </w:rPr>
        <w:t>带动能力。</w:t>
      </w:r>
    </w:p>
    <w:p w14:paraId="6FB0F35B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-10"/>
          <w:w w:val="95"/>
          <w:sz w:val="32"/>
          <w:szCs w:val="24"/>
        </w:rPr>
        <w:t>完善基层村基本服务水平。基层村作为基层的农业生产组织</w:t>
      </w:r>
      <w:r>
        <w:rPr>
          <w:rFonts w:hint="eastAsia"/>
          <w:spacing w:val="-9"/>
          <w:w w:val="95"/>
          <w:sz w:val="32"/>
          <w:szCs w:val="24"/>
        </w:rPr>
        <w:t>单元和社区治理单元，应重点完善提升村庄环卫、交通等基础设</w:t>
      </w:r>
      <w:r>
        <w:rPr>
          <w:rFonts w:hint="eastAsia"/>
          <w:w w:val="95"/>
          <w:sz w:val="32"/>
          <w:szCs w:val="24"/>
        </w:rPr>
        <w:t>施和教育、医疗卫生等公共服务设施，加强与中心村、镇政府驻</w:t>
      </w:r>
      <w:r>
        <w:rPr>
          <w:rFonts w:hint="eastAsia"/>
          <w:sz w:val="32"/>
          <w:szCs w:val="24"/>
        </w:rPr>
        <w:t>地等的联通，因地制宜推进村庄特色发展。</w:t>
      </w:r>
    </w:p>
    <w:p w14:paraId="654EEB85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737"/>
        <w:textAlignment w:val="auto"/>
        <w:rPr>
          <w:rFonts w:hint="eastAsia" w:ascii="黑体" w:hAnsi="黑体" w:eastAsia="黑体"/>
          <w:w w:val="95"/>
          <w:sz w:val="32"/>
          <w:szCs w:val="24"/>
        </w:rPr>
      </w:pPr>
      <w:r>
        <w:rPr>
          <w:rFonts w:hint="eastAsia" w:ascii="黑体" w:hAnsi="黑体" w:eastAsia="黑体"/>
          <w:w w:val="95"/>
          <w:sz w:val="32"/>
          <w:szCs w:val="24"/>
        </w:rPr>
        <w:t>十、镇政府驻地</w:t>
      </w:r>
    </w:p>
    <w:p w14:paraId="162571E4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 w:cs="Times New Roman"/>
          <w:spacing w:val="-9"/>
          <w:w w:val="95"/>
          <w:sz w:val="32"/>
          <w:szCs w:val="24"/>
        </w:rPr>
      </w:pPr>
      <w:r>
        <w:rPr>
          <w:rFonts w:hint="eastAsia" w:cs="Times New Roman"/>
          <w:spacing w:val="-9"/>
          <w:w w:val="95"/>
          <w:sz w:val="32"/>
          <w:szCs w:val="24"/>
        </w:rPr>
        <w:t>镇区整体用地结构规划为：“一轴、一心、</w:t>
      </w:r>
      <w:r>
        <w:rPr>
          <w:rFonts w:hint="eastAsia" w:cs="Times New Roman"/>
          <w:spacing w:val="-9"/>
          <w:w w:val="95"/>
          <w:sz w:val="32"/>
          <w:szCs w:val="24"/>
          <w:lang w:val="en-US" w:eastAsia="zh-CN"/>
        </w:rPr>
        <w:t>二</w:t>
      </w:r>
      <w:r>
        <w:rPr>
          <w:rFonts w:hint="eastAsia" w:cs="Times New Roman"/>
          <w:spacing w:val="-9"/>
          <w:w w:val="95"/>
          <w:sz w:val="32"/>
          <w:szCs w:val="24"/>
        </w:rPr>
        <w:t>区、多点”。</w:t>
      </w:r>
    </w:p>
    <w:p w14:paraId="75C02355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 w:cs="Times New Roman"/>
          <w:spacing w:val="-9"/>
          <w:w w:val="95"/>
          <w:sz w:val="32"/>
          <w:szCs w:val="24"/>
        </w:rPr>
      </w:pPr>
      <w:r>
        <w:rPr>
          <w:rFonts w:hint="eastAsia" w:cs="Times New Roman"/>
          <w:spacing w:val="-9"/>
          <w:w w:val="95"/>
          <w:sz w:val="32"/>
          <w:szCs w:val="24"/>
        </w:rPr>
        <w:t>一轴：以</w:t>
      </w:r>
      <w:r>
        <w:rPr>
          <w:rFonts w:hint="eastAsia" w:cs="Times New Roman"/>
          <w:spacing w:val="-9"/>
          <w:w w:val="95"/>
          <w:sz w:val="32"/>
          <w:szCs w:val="24"/>
          <w:lang w:val="en-US" w:eastAsia="zh-CN"/>
        </w:rPr>
        <w:t>集市街</w:t>
      </w:r>
      <w:r>
        <w:rPr>
          <w:rFonts w:hint="eastAsia" w:cs="Times New Roman"/>
          <w:spacing w:val="-9"/>
          <w:w w:val="95"/>
          <w:sz w:val="32"/>
          <w:szCs w:val="24"/>
        </w:rPr>
        <w:t>作为城镇空间发展轴。</w:t>
      </w:r>
    </w:p>
    <w:p w14:paraId="30D0A61F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 w:cs="Times New Roman"/>
          <w:spacing w:val="-9"/>
          <w:w w:val="95"/>
          <w:sz w:val="32"/>
          <w:szCs w:val="24"/>
        </w:rPr>
      </w:pPr>
      <w:r>
        <w:rPr>
          <w:rFonts w:hint="eastAsia" w:cs="Times New Roman"/>
          <w:spacing w:val="-9"/>
          <w:w w:val="95"/>
          <w:sz w:val="32"/>
          <w:szCs w:val="24"/>
        </w:rPr>
        <w:t>一心：以镇政府驻地及周边用地为乡镇综合发展中心。</w:t>
      </w:r>
    </w:p>
    <w:p w14:paraId="17D71354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 w:cs="Times New Roman"/>
          <w:spacing w:val="-9"/>
          <w:w w:val="95"/>
          <w:sz w:val="32"/>
          <w:szCs w:val="24"/>
        </w:rPr>
      </w:pPr>
      <w:r>
        <w:rPr>
          <w:rFonts w:hint="eastAsia" w:cs="Times New Roman"/>
          <w:spacing w:val="-9"/>
          <w:w w:val="95"/>
          <w:sz w:val="32"/>
          <w:szCs w:val="24"/>
          <w:lang w:val="en-US" w:eastAsia="zh-CN"/>
        </w:rPr>
        <w:t>二</w:t>
      </w:r>
      <w:r>
        <w:rPr>
          <w:rFonts w:hint="eastAsia" w:cs="Times New Roman"/>
          <w:spacing w:val="-9"/>
          <w:w w:val="95"/>
          <w:sz w:val="32"/>
          <w:szCs w:val="24"/>
        </w:rPr>
        <w:t>区：</w:t>
      </w:r>
      <w:r>
        <w:rPr>
          <w:rFonts w:hint="eastAsia" w:cs="Times New Roman"/>
          <w:spacing w:val="-9"/>
          <w:w w:val="95"/>
          <w:sz w:val="32"/>
          <w:szCs w:val="24"/>
          <w:lang w:val="en-US" w:eastAsia="zh-CN"/>
        </w:rPr>
        <w:t>城镇发展轴串联的两个居住生活组团</w:t>
      </w:r>
      <w:r>
        <w:rPr>
          <w:rFonts w:hint="eastAsia" w:cs="Times New Roman"/>
          <w:spacing w:val="-9"/>
          <w:w w:val="95"/>
          <w:sz w:val="32"/>
          <w:szCs w:val="24"/>
        </w:rPr>
        <w:t>。</w:t>
      </w:r>
    </w:p>
    <w:p w14:paraId="0F758B77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8" w:right="431" w:firstLine="641"/>
        <w:jc w:val="both"/>
        <w:textAlignment w:val="auto"/>
        <w:rPr>
          <w:rFonts w:hint="eastAsia"/>
          <w:sz w:val="23"/>
          <w:szCs w:val="24"/>
        </w:rPr>
      </w:pPr>
      <w:r>
        <w:rPr>
          <w:rFonts w:hint="eastAsia" w:cs="Times New Roman"/>
          <w:spacing w:val="-9"/>
          <w:w w:val="95"/>
          <w:sz w:val="32"/>
          <w:szCs w:val="24"/>
        </w:rPr>
        <w:t>多点：结合现状空闲地塑造绿化景观节点。</w:t>
      </w:r>
    </w:p>
    <w:p w14:paraId="21CB2F31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737"/>
        <w:textAlignment w:val="auto"/>
        <w:rPr>
          <w:rFonts w:hint="eastAsia"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32"/>
          <w:szCs w:val="24"/>
        </w:rPr>
        <w:t>十一、历史文化保护和风貌塑造</w:t>
      </w:r>
    </w:p>
    <w:p w14:paraId="74EF9A46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49" w:beforeLines="0" w:afterLines="0" w:line="360" w:lineRule="auto"/>
        <w:ind w:left="106" w:right="112" w:firstLine="640"/>
        <w:textAlignment w:val="auto"/>
        <w:rPr>
          <w:rFonts w:hint="eastAsia"/>
          <w:spacing w:val="-11"/>
          <w:w w:val="95"/>
          <w:sz w:val="32"/>
          <w:szCs w:val="24"/>
        </w:rPr>
      </w:pPr>
      <w:r>
        <w:rPr>
          <w:rFonts w:hint="eastAsia"/>
          <w:spacing w:val="-11"/>
          <w:w w:val="95"/>
          <w:sz w:val="32"/>
          <w:szCs w:val="24"/>
        </w:rPr>
        <w:t>统筹推动历史文化资源保护，恢复有价值的历史信息，严格保护辖区1处</w:t>
      </w:r>
      <w:r>
        <w:rPr>
          <w:rFonts w:hint="default"/>
          <w:spacing w:val="-11"/>
          <w:w w:val="95"/>
          <w:sz w:val="32"/>
          <w:szCs w:val="24"/>
          <w:lang w:val="en-US" w:eastAsia="zh-CN"/>
        </w:rPr>
        <w:t>中国传统村落</w:t>
      </w:r>
      <w:r>
        <w:rPr>
          <w:rFonts w:hint="eastAsia"/>
          <w:spacing w:val="-11"/>
          <w:w w:val="95"/>
          <w:sz w:val="32"/>
          <w:szCs w:val="24"/>
          <w:lang w:val="en-US" w:eastAsia="zh-CN"/>
        </w:rPr>
        <w:t>，1处县</w:t>
      </w:r>
      <w:r>
        <w:rPr>
          <w:rFonts w:hint="eastAsia"/>
          <w:spacing w:val="-11"/>
          <w:w w:val="95"/>
          <w:sz w:val="32"/>
          <w:szCs w:val="24"/>
        </w:rPr>
        <w:t>级文物保护单位。</w:t>
      </w:r>
    </w:p>
    <w:p w14:paraId="505DF75C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49" w:beforeLines="0" w:afterLines="0" w:line="360" w:lineRule="auto"/>
        <w:ind w:left="106" w:right="112" w:firstLine="640"/>
        <w:textAlignment w:val="auto"/>
        <w:rPr>
          <w:rFonts w:hint="eastAsia"/>
          <w:spacing w:val="-11"/>
          <w:w w:val="95"/>
          <w:sz w:val="32"/>
          <w:szCs w:val="24"/>
        </w:rPr>
      </w:pPr>
      <w:r>
        <w:rPr>
          <w:rFonts w:hint="eastAsia"/>
          <w:spacing w:val="-11"/>
          <w:w w:val="95"/>
          <w:sz w:val="32"/>
          <w:szCs w:val="24"/>
        </w:rPr>
        <w:t>发挥生态环境资源优势，以林田资源为本底，以主要交通干线为骨架，串联镇区和村庄，整体形成“</w:t>
      </w:r>
      <w:r>
        <w:rPr>
          <w:rFonts w:hint="eastAsia"/>
          <w:spacing w:val="-11"/>
          <w:w w:val="95"/>
          <w:sz w:val="32"/>
          <w:szCs w:val="24"/>
          <w:lang w:val="en-US" w:eastAsia="zh-CN"/>
        </w:rPr>
        <w:t>青山为基、绿水为脉，村庄为韵、田园为景</w:t>
      </w:r>
      <w:r>
        <w:rPr>
          <w:rFonts w:hint="eastAsia"/>
          <w:spacing w:val="-11"/>
          <w:w w:val="95"/>
          <w:sz w:val="32"/>
          <w:szCs w:val="24"/>
        </w:rPr>
        <w:t>”的景观风貌。</w:t>
      </w:r>
    </w:p>
    <w:p w14:paraId="0621C049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7" w:beforeLines="0" w:afterLines="0" w:line="360" w:lineRule="auto"/>
        <w:ind w:left="737"/>
        <w:textAlignment w:val="auto"/>
        <w:rPr>
          <w:rFonts w:hint="eastAsia" w:ascii="黑体" w:hAnsi="黑体" w:eastAsia="黑体"/>
          <w:sz w:val="23"/>
          <w:szCs w:val="24"/>
        </w:rPr>
      </w:pPr>
      <w:r>
        <w:rPr>
          <w:rFonts w:hint="eastAsia" w:ascii="黑体" w:hAnsi="黑体" w:eastAsia="黑体"/>
          <w:sz w:val="32"/>
          <w:szCs w:val="24"/>
        </w:rPr>
        <w:t>十二、基础设施和综合防灾</w:t>
      </w:r>
    </w:p>
    <w:p w14:paraId="6D3B4503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49" w:beforeLines="0" w:afterLines="0" w:line="360" w:lineRule="auto"/>
        <w:ind w:left="106" w:right="112" w:firstLine="640"/>
        <w:textAlignment w:val="auto"/>
        <w:rPr>
          <w:rFonts w:hint="eastAsia" w:cs="Times New Roman"/>
          <w:spacing w:val="-12"/>
          <w:sz w:val="32"/>
          <w:szCs w:val="24"/>
        </w:rPr>
      </w:pPr>
      <w:r>
        <w:rPr>
          <w:rFonts w:hint="eastAsia" w:cs="Times New Roman"/>
          <w:spacing w:val="-12"/>
          <w:sz w:val="32"/>
          <w:szCs w:val="24"/>
        </w:rPr>
        <w:t>提高区域交通的可达性。以多方式联运和集约化运输为主体，以区域交通干线为骨架，加快交通网络设施建设。扩大与增强</w:t>
      </w:r>
      <w:r>
        <w:rPr>
          <w:rFonts w:hint="eastAsia" w:cs="Times New Roman"/>
          <w:spacing w:val="-12"/>
          <w:sz w:val="32"/>
          <w:szCs w:val="24"/>
          <w:lang w:eastAsia="zh-CN"/>
        </w:rPr>
        <w:t>测鱼</w:t>
      </w:r>
      <w:r>
        <w:rPr>
          <w:rFonts w:hint="eastAsia" w:cs="Times New Roman"/>
          <w:spacing w:val="-12"/>
          <w:sz w:val="32"/>
          <w:szCs w:val="24"/>
        </w:rPr>
        <w:t>镇与周边区县的交通联系，加强镇域内镇村间的通道建设，引导镇村空间结构调整和产业功能布局优化，促进区域经济繁荣，形成以公路为主导，功能齐全、结构合理、协调发展的高效综合交通体系。</w:t>
      </w:r>
    </w:p>
    <w:p w14:paraId="435A890E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49" w:beforeLines="0" w:afterLines="0" w:line="360" w:lineRule="auto"/>
        <w:ind w:left="106" w:right="112" w:firstLine="640"/>
        <w:textAlignment w:val="auto"/>
        <w:rPr>
          <w:rFonts w:hint="eastAsia" w:cs="Times New Roman"/>
          <w:spacing w:val="-12"/>
          <w:sz w:val="32"/>
          <w:szCs w:val="24"/>
        </w:rPr>
      </w:pPr>
      <w:r>
        <w:rPr>
          <w:rFonts w:hint="eastAsia" w:cs="Times New Roman"/>
          <w:spacing w:val="-12"/>
          <w:sz w:val="32"/>
          <w:szCs w:val="24"/>
        </w:rPr>
        <w:t>健全城乡供水体系，优化供水格局，完善供水管网，开源与节流并举，提高水资源利用效率，全面建设节水型社会。</w:t>
      </w:r>
    </w:p>
    <w:p w14:paraId="4D0354DE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49" w:beforeLines="0" w:afterLines="0" w:line="360" w:lineRule="auto"/>
        <w:ind w:left="106" w:right="112" w:firstLine="640"/>
        <w:textAlignment w:val="auto"/>
        <w:rPr>
          <w:rFonts w:hint="eastAsia" w:cs="Times New Roman"/>
          <w:spacing w:val="-12"/>
          <w:sz w:val="32"/>
          <w:szCs w:val="24"/>
        </w:rPr>
      </w:pPr>
      <w:r>
        <w:rPr>
          <w:rFonts w:hint="eastAsia" w:cs="Times New Roman"/>
          <w:spacing w:val="-12"/>
          <w:sz w:val="32"/>
          <w:szCs w:val="24"/>
        </w:rPr>
        <w:t>优化调整能源结构，加强能源基础设施建设，着力提升法治化、信息化、智能化管理水平，建设清洁低碳、安全高效、开放融合的现代能源体系。</w:t>
      </w:r>
    </w:p>
    <w:p w14:paraId="235B2F27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textAlignment w:val="auto"/>
        <w:rPr>
          <w:rFonts w:hint="eastAsia"/>
          <w:sz w:val="32"/>
          <w:szCs w:val="24"/>
        </w:rPr>
      </w:pPr>
      <w:r>
        <w:rPr>
          <w:rFonts w:hint="eastAsia" w:cs="Times New Roman"/>
          <w:spacing w:val="-12"/>
          <w:sz w:val="32"/>
          <w:szCs w:val="24"/>
        </w:rPr>
        <w:t>坚持以防为主、防抗救相结合，加强全镇各类灾害风险监测预警能力建设，提高城乡基础设施韧性，建设和完善各类防灾减灾基础设施与应急服务设施，建立健全面向多种灾害风险</w:t>
      </w:r>
      <w:r>
        <w:rPr>
          <w:rFonts w:hint="eastAsia"/>
          <w:spacing w:val="-9"/>
          <w:w w:val="95"/>
          <w:sz w:val="32"/>
          <w:szCs w:val="24"/>
        </w:rPr>
        <w:t>的综合</w:t>
      </w:r>
      <w:r>
        <w:rPr>
          <w:rFonts w:hint="eastAsia"/>
          <w:sz w:val="32"/>
          <w:szCs w:val="24"/>
        </w:rPr>
        <w:t>防灾体系。</w:t>
      </w:r>
    </w:p>
    <w:p w14:paraId="7BD691AE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50" w:beforeLines="0" w:afterLines="0" w:line="360" w:lineRule="auto"/>
        <w:ind w:left="737"/>
        <w:textAlignment w:val="auto"/>
        <w:rPr>
          <w:rFonts w:hint="eastAsia" w:ascii="黑体" w:hAnsi="黑体" w:eastAsia="黑体"/>
          <w:sz w:val="32"/>
          <w:szCs w:val="24"/>
        </w:rPr>
      </w:pPr>
      <w:r>
        <w:rPr>
          <w:rFonts w:hint="eastAsia" w:ascii="黑体" w:hAnsi="黑体" w:eastAsia="黑体"/>
          <w:sz w:val="32"/>
          <w:szCs w:val="24"/>
        </w:rPr>
        <w:t>十三、规划传导和实施保障</w:t>
      </w:r>
    </w:p>
    <w:p w14:paraId="42F76573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149" w:beforeLines="0" w:afterLines="0" w:line="360" w:lineRule="auto"/>
        <w:ind w:left="106" w:right="112" w:firstLine="640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-11"/>
          <w:w w:val="95"/>
          <w:sz w:val="32"/>
          <w:szCs w:val="24"/>
        </w:rPr>
        <w:t>对上位规划的落实。落实县级规划确定对</w:t>
      </w:r>
      <w:r>
        <w:rPr>
          <w:rFonts w:hint="eastAsia"/>
          <w:spacing w:val="-11"/>
          <w:w w:val="95"/>
          <w:sz w:val="32"/>
          <w:szCs w:val="24"/>
          <w:lang w:eastAsia="zh-CN"/>
        </w:rPr>
        <w:t>测鱼</w:t>
      </w:r>
      <w:r>
        <w:rPr>
          <w:rFonts w:hint="eastAsia"/>
          <w:spacing w:val="-11"/>
          <w:w w:val="95"/>
          <w:sz w:val="32"/>
          <w:szCs w:val="24"/>
        </w:rPr>
        <w:t>镇的职能定位、</w:t>
      </w:r>
      <w:r>
        <w:rPr>
          <w:rFonts w:hint="eastAsia"/>
          <w:spacing w:val="-12"/>
          <w:sz w:val="32"/>
          <w:szCs w:val="24"/>
        </w:rPr>
        <w:t>主体功能区、耕地保护目标、永久基本农田保护面积等约束性指</w:t>
      </w:r>
      <w:r>
        <w:rPr>
          <w:rFonts w:hint="eastAsia"/>
          <w:sz w:val="32"/>
          <w:szCs w:val="24"/>
        </w:rPr>
        <w:t>标，以及国土空间格局、空间用途管制和重大基础设施等内容。</w:t>
      </w:r>
      <w:r>
        <w:rPr>
          <w:rFonts w:hint="eastAsia"/>
          <w:spacing w:val="-6"/>
          <w:sz w:val="32"/>
          <w:szCs w:val="24"/>
        </w:rPr>
        <w:t>结合</w:t>
      </w:r>
      <w:r>
        <w:rPr>
          <w:rFonts w:hint="eastAsia"/>
          <w:spacing w:val="-6"/>
          <w:sz w:val="32"/>
          <w:szCs w:val="24"/>
          <w:lang w:eastAsia="zh-CN"/>
        </w:rPr>
        <w:t>井陉</w:t>
      </w:r>
      <w:r>
        <w:rPr>
          <w:rFonts w:hint="eastAsia"/>
          <w:spacing w:val="-6"/>
          <w:sz w:val="32"/>
          <w:szCs w:val="24"/>
        </w:rPr>
        <w:t>县国土空间详细规划编制单元成果，确定镇域详细规划</w:t>
      </w:r>
      <w:r>
        <w:rPr>
          <w:rFonts w:hint="eastAsia"/>
          <w:sz w:val="32"/>
          <w:szCs w:val="24"/>
        </w:rPr>
        <w:t>单元。</w:t>
      </w:r>
    </w:p>
    <w:p w14:paraId="2ECAB0C0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  <w:r>
        <w:rPr>
          <w:rFonts w:hint="eastAsia"/>
          <w:spacing w:val="-10"/>
          <w:sz w:val="32"/>
          <w:szCs w:val="24"/>
        </w:rPr>
        <w:t>对详细规划的传导。结合</w:t>
      </w:r>
      <w:r>
        <w:rPr>
          <w:rFonts w:hint="eastAsia"/>
          <w:spacing w:val="-10"/>
          <w:sz w:val="32"/>
          <w:szCs w:val="24"/>
          <w:lang w:eastAsia="zh-CN"/>
        </w:rPr>
        <w:t>井陉</w:t>
      </w:r>
      <w:r>
        <w:rPr>
          <w:rFonts w:hint="eastAsia"/>
          <w:spacing w:val="-10"/>
          <w:sz w:val="32"/>
          <w:szCs w:val="24"/>
        </w:rPr>
        <w:t>县村庄分类布局成果，确定村</w:t>
      </w:r>
      <w:r>
        <w:rPr>
          <w:rFonts w:hint="eastAsia"/>
          <w:spacing w:val="-11"/>
          <w:sz w:val="32"/>
          <w:szCs w:val="24"/>
        </w:rPr>
        <w:t>庄规划编制单元，明确村庄规划编制数量和名单；对村庄规划提</w:t>
      </w:r>
      <w:r>
        <w:rPr>
          <w:rFonts w:hint="eastAsia"/>
          <w:spacing w:val="-2"/>
          <w:sz w:val="32"/>
          <w:szCs w:val="24"/>
        </w:rPr>
        <w:t>出等级类型、发展方向等引导，划定村庄建设用地边界；将耕地</w:t>
      </w:r>
      <w:r>
        <w:rPr>
          <w:rFonts w:hint="eastAsia"/>
          <w:w w:val="95"/>
          <w:sz w:val="32"/>
          <w:szCs w:val="24"/>
        </w:rPr>
        <w:t>和永久基本农田等底线管控的指标规模和空间布局传导至村庄。</w:t>
      </w:r>
    </w:p>
    <w:p w14:paraId="3C9D63A2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433" w:firstLine="640"/>
        <w:jc w:val="both"/>
        <w:textAlignment w:val="auto"/>
        <w:rPr>
          <w:rFonts w:hint="eastAsia"/>
          <w:sz w:val="32"/>
          <w:szCs w:val="24"/>
        </w:rPr>
      </w:pPr>
      <w:r>
        <w:rPr>
          <w:rFonts w:hint="eastAsia"/>
          <w:spacing w:val="-9"/>
          <w:w w:val="95"/>
          <w:sz w:val="32"/>
          <w:szCs w:val="24"/>
        </w:rPr>
        <w:t>村庄规划编制单元划分。统筹推进辖区内村庄规划编制，确定村庄规划编制单元。位于镇政府驻地的村庄，纳入镇规划统筹</w:t>
      </w:r>
      <w:r>
        <w:rPr>
          <w:rFonts w:hint="eastAsia"/>
          <w:spacing w:val="-12"/>
          <w:w w:val="95"/>
          <w:sz w:val="32"/>
          <w:szCs w:val="24"/>
        </w:rPr>
        <w:t>编制，不再单独编制村庄规划；建设空间相连的村庄合并编制村</w:t>
      </w:r>
      <w:r>
        <w:rPr>
          <w:rFonts w:hint="eastAsia"/>
          <w:sz w:val="32"/>
          <w:szCs w:val="24"/>
        </w:rPr>
        <w:t>庄规划，其他村庄均单独编制村庄规划。</w:t>
      </w:r>
    </w:p>
    <w:p w14:paraId="36C77D74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  <w:r>
        <w:rPr>
          <w:rFonts w:hint="eastAsia"/>
          <w:spacing w:val="-9"/>
          <w:sz w:val="32"/>
          <w:szCs w:val="24"/>
        </w:rPr>
        <w:t>统一国土空间用途管制。严格依据国土空间规划，实施国土</w:t>
      </w:r>
      <w:r>
        <w:rPr>
          <w:rFonts w:hint="eastAsia"/>
          <w:spacing w:val="-2"/>
          <w:sz w:val="32"/>
          <w:szCs w:val="24"/>
        </w:rPr>
        <w:t>空间用途管制。建立全域覆盖、协调统一的用途管制规则，依据国土空间规划确定的分区和用途，统筹全域、全类型、多层次自然资源要素，制定不同功能空间、不同用途的转换规则，明确转</w:t>
      </w:r>
      <w:r>
        <w:rPr>
          <w:rFonts w:hint="eastAsia"/>
          <w:w w:val="95"/>
          <w:sz w:val="32"/>
          <w:szCs w:val="24"/>
        </w:rPr>
        <w:t>换方向、条件和管理要求，加强城镇乡村空间的统一用途管制。</w:t>
      </w:r>
    </w:p>
    <w:p w14:paraId="48BFC247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6DBC1771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383B7A6B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73D51D33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7640A9C7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016C8144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76240497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4143EB6E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38D57C4D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3C62E576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777BB427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2FABF61B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6E6DC8D3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527D02D8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60BD2475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6894393C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0036CDFD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13D8B3BB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25293E5E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0282BBD7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5B1C5AE4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-544195</wp:posOffset>
            </wp:positionH>
            <wp:positionV relativeFrom="paragraph">
              <wp:posOffset>132715</wp:posOffset>
            </wp:positionV>
            <wp:extent cx="6421755" cy="4534535"/>
            <wp:effectExtent l="0" t="0" r="9525" b="6985"/>
            <wp:wrapNone/>
            <wp:docPr id="4" name="图片 6" descr="D:/工作/测鱼镇国土空间规划20260225/130121109测鱼镇国土空间总体规划电子成果数据（20251130封库）/130121109测鱼镇国土空间总体规划电子成果数据（20251130封库）/2栅格图件/130121109测鱼镇03国土空间控制线规划图.jpg130121109测鱼镇03国土空间控制线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 descr="D:/工作/测鱼镇国土空间规划20260225/130121109测鱼镇国土空间总体规划电子成果数据（20251130封库）/130121109测鱼镇国土空间总体规划电子成果数据（20251130封库）/2栅格图件/130121109测鱼镇03国土空间控制线规划图.jpg130121109测鱼镇03国土空间控制线规划图"/>
                    <pic:cNvPicPr>
                      <a:picLocks noChangeAspect="1"/>
                    </pic:cNvPicPr>
                  </pic:nvPicPr>
                  <pic:blipFill>
                    <a:blip r:embed="rId5"/>
                    <a:srcRect l="14" r="-53"/>
                    <a:stretch>
                      <a:fillRect/>
                    </a:stretch>
                  </pic:blipFill>
                  <pic:spPr>
                    <a:xfrm>
                      <a:off x="0" y="0"/>
                      <a:ext cx="6421755" cy="453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0D41019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6FC6D4DA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657FAB11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2527BCA6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7EBBF5FD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620479EE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2CF0067E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7F2E1363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2856C75A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197D3C8D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66137A16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673E65FB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72AA99AC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5019B1F9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318524D2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19108225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15991431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216EB7B1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77DFDB40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5092EE28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14EA56F2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555FF740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-494665</wp:posOffset>
            </wp:positionH>
            <wp:positionV relativeFrom="paragraph">
              <wp:posOffset>91440</wp:posOffset>
            </wp:positionV>
            <wp:extent cx="6420485" cy="4535805"/>
            <wp:effectExtent l="0" t="0" r="10795" b="5715"/>
            <wp:wrapNone/>
            <wp:docPr id="1" name="图片 1" descr="130121109测鱼镇02国土空间总体格局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30121109测鱼镇02国土空间总体格局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20485" cy="4535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7CE621A"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Lines="0" w:afterLines="0" w:line="360" w:lineRule="auto"/>
        <w:ind w:left="106" w:right="318" w:firstLine="640"/>
        <w:jc w:val="both"/>
        <w:textAlignment w:val="auto"/>
        <w:rPr>
          <w:rFonts w:hint="eastAsia"/>
          <w:w w:val="95"/>
          <w:sz w:val="32"/>
          <w:szCs w:val="24"/>
        </w:rPr>
      </w:pPr>
    </w:p>
    <w:p w14:paraId="14B9410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3A2A302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7AD2BF7D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407B02CD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759099B8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1F5C4CB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2A921ED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37F9BB81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0D26FDD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6812CABD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58DD3281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0727709B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58A3F563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37A864BD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290EBE3E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0E10309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4E61176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60A3BB69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4A78CBE5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310C9467">
      <w:pPr>
        <w:rPr>
          <w:rFonts w:hint="eastAsia" w:ascii="仿宋" w:hAnsi="仿宋" w:eastAsia="仿宋" w:cs="仿宋"/>
          <w:sz w:val="32"/>
          <w:szCs w:val="32"/>
        </w:rPr>
      </w:pPr>
    </w:p>
    <w:p w14:paraId="7EFCC791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-605155</wp:posOffset>
            </wp:positionH>
            <wp:positionV relativeFrom="paragraph">
              <wp:posOffset>58420</wp:posOffset>
            </wp:positionV>
            <wp:extent cx="6420485" cy="4535805"/>
            <wp:effectExtent l="0" t="0" r="10795" b="5715"/>
            <wp:wrapNone/>
            <wp:docPr id="2" name="图片 2" descr="130121109测鱼镇10村庄布点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30121109测鱼镇10村庄布点规划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20485" cy="4535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62265E0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br w:type="page"/>
      </w:r>
    </w:p>
    <w:p w14:paraId="78AB0771">
      <w:pPr>
        <w:ind w:firstLine="640" w:firstLineChars="200"/>
        <w:rPr>
          <w:rFonts w:hint="eastAsia"/>
          <w:w w:val="95"/>
          <w:sz w:val="32"/>
          <w:szCs w:val="24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-560070</wp:posOffset>
            </wp:positionH>
            <wp:positionV relativeFrom="paragraph">
              <wp:posOffset>80010</wp:posOffset>
            </wp:positionV>
            <wp:extent cx="6420485" cy="4535805"/>
            <wp:effectExtent l="0" t="0" r="10795" b="5715"/>
            <wp:wrapNone/>
            <wp:docPr id="3" name="图片 3" descr="130121109测鱼镇15国土空间规划分区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30121109测鱼镇15国土空间规划分区图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20485" cy="4535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DB66C3"/>
    <w:rsid w:val="17D66D1D"/>
    <w:rsid w:val="1E6A785E"/>
    <w:rsid w:val="25A0096A"/>
    <w:rsid w:val="5AD53984"/>
    <w:rsid w:val="5E074D47"/>
    <w:rsid w:val="618102A9"/>
    <w:rsid w:val="65DB66C3"/>
    <w:rsid w:val="6FEA0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  <w:spacing w:beforeLines="0" w:afterLines="0"/>
    </w:pPr>
    <w:rPr>
      <w:rFonts w:hint="eastAsia" w:ascii="仿宋" w:hAnsi="仿宋" w:eastAsia="仿宋" w:cs="Times New Roman"/>
      <w:sz w:val="22"/>
      <w:szCs w:val="2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spacing w:beforeLines="0" w:afterLines="0"/>
    </w:pPr>
    <w:rPr>
      <w:rFonts w:hint="eastAsia"/>
      <w:sz w:val="32"/>
      <w:szCs w:val="24"/>
    </w:rPr>
  </w:style>
  <w:style w:type="paragraph" w:customStyle="1" w:styleId="5">
    <w:name w:val="前言、附表"/>
    <w:basedOn w:val="1"/>
    <w:qFormat/>
    <w:uiPriority w:val="0"/>
    <w:pPr>
      <w:spacing w:before="200" w:beforeLines="200" w:after="150" w:afterLines="150" w:line="360" w:lineRule="auto"/>
      <w:jc w:val="center"/>
      <w:outlineLvl w:val="0"/>
    </w:pPr>
    <w:rPr>
      <w:rFonts w:ascii="方正小标宋_GBK" w:hAnsi="Times New Roman" w:eastAsia="方正小标宋_GBK"/>
      <w:sz w:val="36"/>
      <w:szCs w:val="4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2739</Words>
  <Characters>2863</Characters>
  <Lines>0</Lines>
  <Paragraphs>0</Paragraphs>
  <TotalTime>5</TotalTime>
  <ScaleCrop>false</ScaleCrop>
  <LinksUpToDate>false</LinksUpToDate>
  <CharactersWithSpaces>2865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2026-02-24T05:25:00Z</dcterms:created>
  <dc:creator>游来游去的鱼</dc:creator>
  <cp:lastModifiedBy>游来游去的鱼</cp:lastModifiedBy>
  <dcterms:modified xsi:type="dcterms:W3CDTF">2026-02-24T05:41:29Z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F1A89984794D41AEAC0727CAEDB599D8_11</vt:lpwstr>
  </property>
  <property fmtid="{D5CDD505-2E9C-101B-9397-08002B2CF9AE}" pid="4" name="KSOTemplateDocerSaveRecord">
    <vt:lpwstr>eyJoZGlkIjoiY2FkNWIzNmE0Y2M1NWM2MjkzNDMwNTI1NWM1NDIyNDUiLCJ1c2VySWQiOiI3OTYwMTk0MTcifQ==</vt:lpwstr>
  </property>
</Properties>
</file>