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8F1877">
      <w:pPr>
        <w:pStyle w:val="35"/>
        <w:spacing w:before="0" w:beforeLines="0" w:after="0" w:afterLines="0"/>
        <w:rPr>
          <w:szCs w:val="36"/>
        </w:rPr>
      </w:pPr>
    </w:p>
    <w:p w14:paraId="52D83BF5">
      <w:pPr>
        <w:pStyle w:val="35"/>
        <w:spacing w:before="0" w:beforeLines="0" w:after="0" w:afterLines="0"/>
        <w:jc w:val="both"/>
        <w:rPr>
          <w:sz w:val="32"/>
          <w:szCs w:val="32"/>
        </w:rPr>
      </w:pPr>
      <w:r>
        <w:rPr>
          <w:sz w:val="32"/>
          <w:szCs w:val="32"/>
        </w:rPr>
        <w:t>《</w:t>
      </w:r>
      <w:r>
        <w:rPr>
          <w:rFonts w:hint="eastAsia"/>
          <w:sz w:val="32"/>
          <w:szCs w:val="32"/>
          <w:lang w:eastAsia="zh-CN"/>
        </w:rPr>
        <w:t>井陉县天长镇国土空间总体规划</w:t>
      </w:r>
      <w:r>
        <w:rPr>
          <w:sz w:val="32"/>
          <w:szCs w:val="32"/>
        </w:rPr>
        <w:t>（2021-2035 年）》</w:t>
      </w:r>
    </w:p>
    <w:p w14:paraId="4EC25440">
      <w:pPr>
        <w:pStyle w:val="35"/>
        <w:spacing w:before="0" w:beforeLines="0" w:after="0" w:afterLines="0"/>
        <w:rPr>
          <w:sz w:val="32"/>
          <w:szCs w:val="32"/>
        </w:rPr>
      </w:pPr>
      <w:r>
        <w:rPr>
          <w:sz w:val="32"/>
          <w:szCs w:val="32"/>
        </w:rPr>
        <w:t>批后公告</w:t>
      </w:r>
    </w:p>
    <w:p w14:paraId="4BDA3E2C">
      <w:pPr>
        <w:ind w:firstLine="640" w:firstLineChars="20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eastAsia="zh-CN"/>
        </w:rPr>
        <w:t>井陉县天长镇</w:t>
      </w:r>
      <w:r>
        <w:rPr>
          <w:rFonts w:hint="eastAsia" w:ascii="仿宋" w:hAnsi="仿宋" w:eastAsia="仿宋" w:cs="仿宋"/>
          <w:sz w:val="32"/>
          <w:szCs w:val="32"/>
        </w:rPr>
        <w:t>国土空间总体规划（2021-2035 年）》已于2025年6月30日获</w:t>
      </w:r>
      <w:r>
        <w:rPr>
          <w:rFonts w:hint="eastAsia" w:ascii="仿宋" w:hAnsi="仿宋" w:eastAsia="仿宋" w:cs="仿宋"/>
          <w:sz w:val="32"/>
          <w:szCs w:val="32"/>
          <w:lang w:val="en-US" w:eastAsia="zh-CN"/>
        </w:rPr>
        <w:t>井陉县</w:t>
      </w:r>
      <w:r>
        <w:rPr>
          <w:rFonts w:hint="eastAsia" w:ascii="仿宋" w:hAnsi="仿宋" w:eastAsia="仿宋" w:cs="仿宋"/>
          <w:sz w:val="32"/>
          <w:szCs w:val="32"/>
        </w:rPr>
        <w:t>人民政府批准（</w:t>
      </w:r>
      <w:r>
        <w:rPr>
          <w:rFonts w:hint="eastAsia" w:ascii="仿宋" w:hAnsi="仿宋" w:eastAsia="仿宋" w:cs="仿宋"/>
          <w:sz w:val="32"/>
          <w:szCs w:val="32"/>
          <w:lang w:val="en-US" w:eastAsia="zh-CN"/>
        </w:rPr>
        <w:t>井</w:t>
      </w:r>
      <w:r>
        <w:rPr>
          <w:rFonts w:hint="eastAsia" w:ascii="仿宋" w:hAnsi="仿宋" w:eastAsia="仿宋" w:cs="仿宋"/>
          <w:sz w:val="32"/>
          <w:szCs w:val="32"/>
        </w:rPr>
        <w:t>政〔2025〕</w:t>
      </w:r>
      <w:r>
        <w:rPr>
          <w:rFonts w:hint="eastAsia" w:ascii="仿宋" w:hAnsi="仿宋" w:eastAsia="仿宋" w:cs="仿宋"/>
          <w:sz w:val="32"/>
          <w:szCs w:val="32"/>
          <w:lang w:val="en-US" w:eastAsia="zh-CN"/>
        </w:rPr>
        <w:t>56</w:t>
      </w:r>
      <w:r>
        <w:rPr>
          <w:rFonts w:hint="eastAsia" w:ascii="仿宋" w:hAnsi="仿宋" w:eastAsia="仿宋" w:cs="仿宋"/>
          <w:sz w:val="32"/>
          <w:szCs w:val="32"/>
        </w:rPr>
        <w:t>号），现予以公告。为贯彻落实《中共中央 国务院关于建立国土空间规划体系并监督实施的若干意见》以及《全国国土空间规划纲要（2021-2035年）》</w:t>
      </w:r>
      <w:r>
        <w:rPr>
          <w:rFonts w:hint="eastAsia" w:ascii="仿宋" w:hAnsi="仿宋" w:eastAsia="仿宋" w:cs="仿宋"/>
          <w:sz w:val="32"/>
          <w:szCs w:val="32"/>
          <w:lang w:val="en-US" w:eastAsia="zh-CN"/>
        </w:rPr>
        <w:t>《京津冀协同发展规划纲要》</w:t>
      </w:r>
      <w:r>
        <w:rPr>
          <w:rFonts w:hint="eastAsia" w:ascii="仿宋" w:hAnsi="仿宋" w:eastAsia="仿宋" w:cs="仿宋"/>
          <w:sz w:val="32"/>
          <w:szCs w:val="32"/>
        </w:rPr>
        <w:t>《河北省国土空间规划（2021-2035年）》《石家庄市国土空间总体规划（2021-2035）年》《</w:t>
      </w:r>
      <w:r>
        <w:rPr>
          <w:rFonts w:hint="eastAsia" w:ascii="仿宋" w:hAnsi="仿宋" w:eastAsia="仿宋" w:cs="仿宋"/>
          <w:sz w:val="32"/>
          <w:szCs w:val="32"/>
          <w:lang w:val="en-US" w:eastAsia="zh-CN"/>
        </w:rPr>
        <w:t>井陉县</w:t>
      </w:r>
      <w:r>
        <w:rPr>
          <w:rFonts w:hint="eastAsia" w:ascii="仿宋" w:hAnsi="仿宋" w:eastAsia="仿宋" w:cs="仿宋"/>
          <w:sz w:val="32"/>
          <w:szCs w:val="32"/>
        </w:rPr>
        <w:t>国土空间总体规划（2021-2035年）》各项要求，推动形成人与自然和谐共生的国土空间开发保护新格局，提升空间治理现代化水平，编制本规划。</w:t>
      </w:r>
    </w:p>
    <w:p w14:paraId="6249FA47">
      <w:pPr>
        <w:ind w:firstLine="640" w:firstLineChars="200"/>
        <w:rPr>
          <w:rFonts w:hint="eastAsia" w:ascii="仿宋" w:hAnsi="仿宋" w:eastAsia="仿宋" w:cs="仿宋"/>
          <w:sz w:val="32"/>
          <w:szCs w:val="32"/>
        </w:rPr>
      </w:pPr>
      <w:r>
        <w:rPr>
          <w:rFonts w:hint="eastAsia" w:ascii="仿宋" w:hAnsi="仿宋" w:eastAsia="仿宋" w:cs="仿宋"/>
          <w:sz w:val="32"/>
          <w:szCs w:val="32"/>
        </w:rPr>
        <w:t>现将规划主要内容公布如下：</w:t>
      </w:r>
    </w:p>
    <w:p w14:paraId="137D0501">
      <w:pPr>
        <w:ind w:firstLine="640" w:firstLineChars="200"/>
        <w:rPr>
          <w:rFonts w:hint="eastAsia" w:ascii="黑体" w:hAnsi="黑体" w:eastAsia="黑体" w:cs="仿宋"/>
          <w:sz w:val="32"/>
          <w:szCs w:val="32"/>
        </w:rPr>
      </w:pPr>
      <w:r>
        <w:rPr>
          <w:rFonts w:ascii="黑体" w:hAnsi="黑体" w:eastAsia="黑体" w:cs="仿宋"/>
          <w:sz w:val="32"/>
          <w:szCs w:val="32"/>
        </w:rPr>
        <w:t>一、规划范围</w:t>
      </w:r>
    </w:p>
    <w:p w14:paraId="2D0F7142">
      <w:pPr>
        <w:ind w:firstLine="640" w:firstLineChars="200"/>
        <w:rPr>
          <w:rFonts w:hint="eastAsia" w:ascii="仿宋" w:hAnsi="仿宋" w:eastAsia="仿宋" w:cs="仿宋"/>
          <w:sz w:val="32"/>
          <w:szCs w:val="32"/>
        </w:rPr>
      </w:pPr>
      <w:r>
        <w:rPr>
          <w:rFonts w:hint="eastAsia" w:ascii="仿宋" w:hAnsi="仿宋" w:eastAsia="仿宋" w:cs="仿宋"/>
          <w:sz w:val="32"/>
          <w:szCs w:val="32"/>
        </w:rPr>
        <w:t>本《规划》范围分为镇域和镇政府驻地两个层次。镇域为天长镇行政辖区范围，包含下辖49个行政村，总面积103.20平方千米。镇政府驻地规划范围面积约2.25平方千米。</w:t>
      </w:r>
    </w:p>
    <w:p w14:paraId="00FEA53E">
      <w:pPr>
        <w:ind w:firstLine="640" w:firstLineChars="200"/>
        <w:rPr>
          <w:rFonts w:hint="eastAsia" w:ascii="黑体" w:hAnsi="黑体" w:eastAsia="黑体" w:cs="仿宋"/>
          <w:sz w:val="32"/>
          <w:szCs w:val="32"/>
        </w:rPr>
      </w:pPr>
      <w:r>
        <w:rPr>
          <w:rFonts w:hint="eastAsia" w:ascii="黑体" w:hAnsi="黑体" w:eastAsia="黑体" w:cs="仿宋"/>
          <w:sz w:val="32"/>
          <w:szCs w:val="32"/>
        </w:rPr>
        <w:t>二、规划期限</w:t>
      </w:r>
    </w:p>
    <w:p w14:paraId="017F26ED">
      <w:pPr>
        <w:ind w:firstLine="640" w:firstLineChars="200"/>
        <w:rPr>
          <w:rFonts w:hint="eastAsia" w:ascii="仿宋" w:hAnsi="仿宋" w:eastAsia="仿宋" w:cs="仿宋"/>
          <w:sz w:val="32"/>
          <w:szCs w:val="32"/>
        </w:rPr>
      </w:pPr>
      <w:r>
        <w:rPr>
          <w:rFonts w:hint="eastAsia" w:ascii="仿宋" w:hAnsi="仿宋" w:eastAsia="仿宋" w:cs="仿宋"/>
          <w:sz w:val="32"/>
          <w:szCs w:val="32"/>
        </w:rPr>
        <w:t>规划基期为2020年，规划期限为2021-2035年，近期到2025年，远景展望到2050年。</w:t>
      </w:r>
    </w:p>
    <w:p w14:paraId="6BCC14C3">
      <w:pPr>
        <w:ind w:firstLine="640" w:firstLineChars="200"/>
        <w:rPr>
          <w:rFonts w:hint="eastAsia" w:ascii="黑体" w:hAnsi="黑体" w:eastAsia="黑体" w:cs="仿宋"/>
          <w:sz w:val="32"/>
          <w:szCs w:val="32"/>
          <w:lang w:eastAsia="zh-CN"/>
        </w:rPr>
      </w:pPr>
      <w:r>
        <w:rPr>
          <w:rFonts w:hint="eastAsia" w:ascii="黑体" w:hAnsi="黑体" w:eastAsia="黑体" w:cs="仿宋"/>
          <w:sz w:val="32"/>
          <w:szCs w:val="32"/>
          <w:lang w:val="en-US" w:eastAsia="zh-CN"/>
        </w:rPr>
        <w:t>三</w:t>
      </w:r>
      <w:r>
        <w:rPr>
          <w:rFonts w:hint="eastAsia" w:ascii="黑体" w:hAnsi="黑体" w:eastAsia="黑体" w:cs="仿宋"/>
          <w:sz w:val="32"/>
          <w:szCs w:val="32"/>
        </w:rPr>
        <w:t>、规划</w:t>
      </w:r>
      <w:r>
        <w:rPr>
          <w:rFonts w:hint="eastAsia" w:ascii="黑体" w:hAnsi="黑体" w:eastAsia="黑体" w:cs="仿宋"/>
          <w:sz w:val="32"/>
          <w:szCs w:val="32"/>
          <w:lang w:val="en-US" w:eastAsia="zh-CN"/>
        </w:rPr>
        <w:t>定位</w:t>
      </w:r>
    </w:p>
    <w:p w14:paraId="387DAAF8">
      <w:pPr>
        <w:ind w:firstLine="640" w:firstLineChars="200"/>
        <w:rPr>
          <w:rFonts w:hint="eastAsia" w:ascii="仿宋" w:hAnsi="仿宋" w:eastAsia="仿宋" w:cs="仿宋"/>
          <w:sz w:val="32"/>
          <w:szCs w:val="32"/>
        </w:rPr>
      </w:pPr>
      <w:r>
        <w:rPr>
          <w:rFonts w:hint="eastAsia" w:ascii="仿宋" w:hAnsi="仿宋" w:eastAsia="仿宋" w:cs="仿宋"/>
          <w:sz w:val="32"/>
          <w:szCs w:val="32"/>
        </w:rPr>
        <w:t>坚持“筑基、兴镇”的发展思路，拓展区位交通优势，擦亮全市唯一中国历史文化名镇品牌，发挥明珠效应，致力将其打造为华北地区古镇古村旅游目的地、文化生态旅游融合发展示范镇。</w:t>
      </w:r>
    </w:p>
    <w:p w14:paraId="52C16EAB">
      <w:pPr>
        <w:ind w:firstLine="640" w:firstLineChars="200"/>
        <w:rPr>
          <w:rFonts w:hint="eastAsia" w:ascii="黑体" w:hAnsi="黑体" w:eastAsia="黑体" w:cs="仿宋"/>
          <w:sz w:val="32"/>
          <w:szCs w:val="32"/>
          <w:lang w:val="en-US" w:eastAsia="zh-CN"/>
        </w:rPr>
      </w:pPr>
      <w:r>
        <w:rPr>
          <w:rFonts w:hint="eastAsia" w:ascii="黑体" w:hAnsi="黑体" w:eastAsia="黑体" w:cs="仿宋"/>
          <w:sz w:val="32"/>
          <w:szCs w:val="32"/>
          <w:lang w:val="en-US" w:eastAsia="zh-CN"/>
        </w:rPr>
        <w:t>四、规划目标</w:t>
      </w:r>
    </w:p>
    <w:p w14:paraId="667DBAEE">
      <w:pPr>
        <w:ind w:firstLine="640" w:firstLineChars="200"/>
        <w:rPr>
          <w:rFonts w:hint="eastAsia" w:ascii="仿宋" w:hAnsi="仿宋" w:eastAsia="仿宋" w:cs="仿宋"/>
          <w:sz w:val="32"/>
          <w:szCs w:val="32"/>
        </w:rPr>
      </w:pPr>
      <w:r>
        <w:rPr>
          <w:rFonts w:hint="eastAsia" w:ascii="仿宋" w:hAnsi="仿宋" w:eastAsia="仿宋" w:cs="仿宋"/>
          <w:sz w:val="32"/>
          <w:szCs w:val="32"/>
        </w:rPr>
        <w:t>到2025年，搭建国土空间保护新格局，乡村振兴取得初步成果，旅游业得到一定规模发展。镇政府驻地建设品质和服务配套不断提升，农村人居环境整治基本完成。</w:t>
      </w:r>
    </w:p>
    <w:p w14:paraId="3C6D2369">
      <w:pPr>
        <w:ind w:firstLine="640" w:firstLineChars="200"/>
        <w:rPr>
          <w:rFonts w:hint="eastAsia" w:ascii="仿宋" w:hAnsi="仿宋" w:eastAsia="仿宋" w:cs="仿宋"/>
          <w:sz w:val="32"/>
          <w:szCs w:val="32"/>
        </w:rPr>
      </w:pPr>
      <w:r>
        <w:rPr>
          <w:rFonts w:hint="eastAsia" w:ascii="仿宋" w:hAnsi="仿宋" w:eastAsia="仿宋" w:cs="仿宋"/>
          <w:sz w:val="32"/>
          <w:szCs w:val="32"/>
        </w:rPr>
        <w:t>到2030年，初步形成国土空间开发保护新格局，利用数字技术促进一三产融合发展。镇政府驻地完成现代绿色化基础设施改造建设，公共服务和基础设施服务品质全面提升。农村人居环境质量全面提升，基本补齐公共服务和基础设施短板。</w:t>
      </w:r>
    </w:p>
    <w:p w14:paraId="1884561F">
      <w:pPr>
        <w:ind w:firstLine="640" w:firstLineChars="200"/>
        <w:rPr>
          <w:rFonts w:hint="eastAsia" w:ascii="仿宋" w:hAnsi="仿宋" w:eastAsia="仿宋" w:cs="仿宋"/>
          <w:sz w:val="32"/>
          <w:szCs w:val="32"/>
        </w:rPr>
      </w:pPr>
      <w:r>
        <w:rPr>
          <w:rFonts w:hint="eastAsia" w:ascii="仿宋" w:hAnsi="仿宋" w:eastAsia="仿宋" w:cs="仿宋"/>
          <w:sz w:val="32"/>
          <w:szCs w:val="32"/>
        </w:rPr>
        <w:t>到2035年，全面形成集约高效、城乡融合的国土空间保护利用新格局，推进一产和三产深度融合，工业园区发展和生态绿色发展并举，打造特色旅游小镇。</w:t>
      </w:r>
    </w:p>
    <w:p w14:paraId="03AB7913">
      <w:pPr>
        <w:ind w:firstLine="640" w:firstLineChars="200"/>
        <w:rPr>
          <w:rFonts w:hint="default" w:ascii="黑体" w:hAnsi="黑体" w:eastAsia="黑体" w:cs="仿宋"/>
          <w:sz w:val="32"/>
          <w:szCs w:val="32"/>
          <w:lang w:val="en-US"/>
        </w:rPr>
      </w:pPr>
      <w:r>
        <w:rPr>
          <w:rFonts w:hint="eastAsia" w:ascii="黑体" w:hAnsi="黑体" w:eastAsia="黑体" w:cs="仿宋"/>
          <w:sz w:val="32"/>
          <w:szCs w:val="32"/>
          <w:lang w:val="en-US" w:eastAsia="zh-CN"/>
        </w:rPr>
        <w:t>五、落实“三区三线”</w:t>
      </w:r>
    </w:p>
    <w:p w14:paraId="4EBE1945">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筑牢国土空间底线，天长镇地保有量不低于2441.39公顷（3.66万亩），永久基本农田保护面积不低于2307.70公顷（3.46万亩），生态保护红线不低于1985.56公顷（29783.40亩），城镇开发边界面积3.92平方千米。</w:t>
      </w:r>
    </w:p>
    <w:p w14:paraId="2604D447">
      <w:pPr>
        <w:ind w:firstLine="640" w:firstLineChars="200"/>
        <w:rPr>
          <w:rFonts w:hint="default" w:ascii="黑体" w:hAnsi="黑体" w:eastAsia="黑体" w:cs="仿宋"/>
          <w:sz w:val="32"/>
          <w:szCs w:val="32"/>
          <w:lang w:val="en-US" w:eastAsia="zh-CN"/>
        </w:rPr>
      </w:pPr>
      <w:r>
        <w:rPr>
          <w:rFonts w:hint="eastAsia" w:ascii="黑体" w:hAnsi="黑体" w:eastAsia="黑体" w:cs="仿宋"/>
          <w:sz w:val="32"/>
          <w:szCs w:val="32"/>
          <w:lang w:val="en-US" w:eastAsia="zh-CN"/>
        </w:rPr>
        <w:t>六、落实主体功能区布局</w:t>
      </w:r>
    </w:p>
    <w:p w14:paraId="36803C7D">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落实县级总规对天长镇的主体功能定位，将天长镇确定为重点生态功能区。统筹城乡建设，促进基本公共服务均等化，合理保障产业用地空间，重点重点保护绵河水空间，推进河道生态修复，严控河流沿线污染物排放，加强镇域西侧山体绿化。</w:t>
      </w:r>
    </w:p>
    <w:p w14:paraId="4CA32C9D">
      <w:pPr>
        <w:ind w:firstLine="640" w:firstLineChars="200"/>
        <w:rPr>
          <w:rFonts w:hint="eastAsia" w:ascii="黑体" w:hAnsi="黑体" w:eastAsia="黑体" w:cs="仿宋"/>
          <w:sz w:val="32"/>
          <w:szCs w:val="32"/>
          <w:lang w:val="en-US" w:eastAsia="zh-CN"/>
        </w:rPr>
      </w:pPr>
      <w:r>
        <w:rPr>
          <w:rFonts w:hint="eastAsia" w:ascii="黑体" w:hAnsi="黑体" w:eastAsia="黑体" w:cs="仿宋"/>
          <w:sz w:val="32"/>
          <w:szCs w:val="32"/>
          <w:lang w:val="en-US" w:eastAsia="zh-CN"/>
        </w:rPr>
        <w:t>七、国土空间开发保护总体格局</w:t>
      </w:r>
    </w:p>
    <w:p w14:paraId="47A1C192">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规划构建</w:t>
      </w:r>
      <w:r>
        <w:rPr>
          <w:rFonts w:hint="eastAsia" w:ascii="仿宋" w:hAnsi="仿宋" w:eastAsia="仿宋" w:cs="仿宋"/>
          <w:sz w:val="32"/>
          <w:szCs w:val="32"/>
        </w:rPr>
        <w:t>“一核、两轴、三区”的国土空间总体格局。</w:t>
      </w:r>
    </w:p>
    <w:p w14:paraId="7BE3D7BE">
      <w:pPr>
        <w:ind w:firstLine="640" w:firstLineChars="200"/>
        <w:rPr>
          <w:rFonts w:hint="eastAsia" w:ascii="仿宋" w:hAnsi="仿宋" w:eastAsia="仿宋" w:cs="仿宋"/>
          <w:sz w:val="32"/>
          <w:szCs w:val="32"/>
        </w:rPr>
      </w:pPr>
      <w:r>
        <w:rPr>
          <w:rFonts w:hint="eastAsia" w:ascii="仿宋" w:hAnsi="仿宋" w:eastAsia="仿宋" w:cs="仿宋"/>
          <w:sz w:val="32"/>
          <w:szCs w:val="32"/>
        </w:rPr>
        <w:t>“一核”指指天长镇驻地，注重提升公共服务和服务功能，提升居住品质和旅游接待水平。</w:t>
      </w:r>
    </w:p>
    <w:p w14:paraId="26DB082D">
      <w:pPr>
        <w:ind w:firstLine="640" w:firstLineChars="200"/>
        <w:rPr>
          <w:rFonts w:hint="eastAsia" w:ascii="仿宋" w:hAnsi="仿宋" w:eastAsia="仿宋" w:cs="仿宋"/>
          <w:sz w:val="32"/>
          <w:szCs w:val="32"/>
        </w:rPr>
      </w:pPr>
      <w:r>
        <w:rPr>
          <w:rFonts w:hint="eastAsia" w:ascii="仿宋" w:hAnsi="仿宋" w:eastAsia="仿宋" w:cs="仿宋"/>
          <w:sz w:val="32"/>
          <w:szCs w:val="32"/>
        </w:rPr>
        <w:t>“两轴”指沿绵河和国道（G307）的城镇文旅发展轴和连接井陉省级经济开发区南区的产业发展轴。加强生态空间的系统性保护与修复，沿城镇文旅发展轴重点开展国土绿化、河流湿地资源保护和打造集古镇、古村落与绿水青山一体的精品旅游线路。</w:t>
      </w:r>
    </w:p>
    <w:p w14:paraId="3CA52519">
      <w:pPr>
        <w:ind w:firstLine="640" w:firstLineChars="200"/>
        <w:rPr>
          <w:rFonts w:hint="eastAsia" w:ascii="仿宋" w:hAnsi="仿宋" w:eastAsia="仿宋" w:cs="仿宋"/>
          <w:sz w:val="32"/>
          <w:szCs w:val="32"/>
        </w:rPr>
      </w:pPr>
      <w:r>
        <w:rPr>
          <w:rFonts w:hint="eastAsia" w:ascii="仿宋" w:hAnsi="仿宋" w:eastAsia="仿宋" w:cs="仿宋"/>
          <w:sz w:val="32"/>
          <w:szCs w:val="32"/>
        </w:rPr>
        <w:t>“三区”指城镇发展区、农业种植片区和生态保育片区。在保护好生态和基本农田的前提下，进行适度的休闲农业、乡村旅游、生态旅游开发。城镇发展区以完善配套设施，提升居住品质为主；农业种植片区以发展设施农业、观光农业为主，适度结合山地发展低丘缓坡养殖；镇域北部和西部的生态保育片区加强生态保护和修复。</w:t>
      </w:r>
    </w:p>
    <w:p w14:paraId="7D74F9F7">
      <w:pPr>
        <w:ind w:firstLine="640" w:firstLineChars="200"/>
        <w:rPr>
          <w:rFonts w:hint="eastAsia" w:ascii="仿宋" w:hAnsi="仿宋" w:eastAsia="仿宋" w:cs="仿宋"/>
          <w:sz w:val="32"/>
          <w:szCs w:val="32"/>
        </w:rPr>
      </w:pPr>
    </w:p>
    <w:p w14:paraId="32601578">
      <w:pPr>
        <w:ind w:firstLine="640" w:firstLineChars="200"/>
        <w:rPr>
          <w:rFonts w:hint="eastAsia" w:ascii="黑体" w:hAnsi="黑体" w:eastAsia="黑体" w:cs="仿宋"/>
          <w:sz w:val="32"/>
          <w:szCs w:val="32"/>
          <w:lang w:val="en-US" w:eastAsia="zh-CN"/>
        </w:rPr>
      </w:pPr>
      <w:r>
        <w:rPr>
          <w:rFonts w:hint="eastAsia" w:ascii="黑体" w:hAnsi="黑体" w:eastAsia="黑体" w:cs="仿宋"/>
          <w:sz w:val="32"/>
          <w:szCs w:val="32"/>
          <w:lang w:val="en-US" w:eastAsia="zh-CN"/>
        </w:rPr>
        <w:t>八、国土空间规划分区和功能结构</w:t>
      </w:r>
    </w:p>
    <w:p w14:paraId="6F559310">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落实和深化主体功能区战略，充分衔接三条控制线，将镇域划分为生态保护区、生态控制区、农田保护区、城镇发展区、乡村发展区、矿产能源发展区6类一级规划分区。严格落实县级规划确定的各类约束性指标，以资源利用为主导方式，遵循城乡统筹、地上地下空间统筹的基本原则，统筹安排各类用地。</w:t>
      </w:r>
    </w:p>
    <w:p w14:paraId="301B9F74">
      <w:pPr>
        <w:ind w:firstLine="640" w:firstLineChars="200"/>
        <w:rPr>
          <w:rFonts w:hint="default" w:ascii="黑体" w:hAnsi="黑体" w:eastAsia="黑体" w:cs="仿宋"/>
          <w:sz w:val="32"/>
          <w:szCs w:val="32"/>
          <w:lang w:val="en-US" w:eastAsia="zh-CN"/>
        </w:rPr>
      </w:pPr>
      <w:r>
        <w:rPr>
          <w:rFonts w:hint="eastAsia" w:ascii="黑体" w:hAnsi="黑体" w:eastAsia="黑体" w:cs="仿宋"/>
          <w:sz w:val="32"/>
          <w:szCs w:val="32"/>
          <w:lang w:val="en-US" w:eastAsia="zh-CN"/>
        </w:rPr>
        <w:t>九、优化城乡布局</w:t>
      </w:r>
    </w:p>
    <w:p w14:paraId="155BD24E">
      <w:pPr>
        <w:ind w:firstLine="640" w:firstLineChars="200"/>
        <w:rPr>
          <w:rFonts w:hint="eastAsia" w:ascii="仿宋" w:hAnsi="仿宋" w:eastAsia="仿宋" w:cs="仿宋"/>
          <w:sz w:val="32"/>
          <w:szCs w:val="32"/>
        </w:rPr>
      </w:pPr>
      <w:r>
        <w:rPr>
          <w:rFonts w:hint="eastAsia" w:ascii="仿宋" w:hAnsi="仿宋" w:eastAsia="仿宋" w:cs="仿宋"/>
          <w:sz w:val="32"/>
          <w:szCs w:val="32"/>
        </w:rPr>
        <w:t>规划形成“镇政府驻地-中心村-基层村”三级</w:t>
      </w:r>
      <w:r>
        <w:rPr>
          <w:rFonts w:hint="eastAsia" w:ascii="仿宋" w:hAnsi="仿宋" w:eastAsia="仿宋" w:cs="仿宋"/>
          <w:sz w:val="32"/>
          <w:szCs w:val="32"/>
          <w:lang w:val="en-US" w:eastAsia="zh-CN"/>
        </w:rPr>
        <w:t>居民点体系</w:t>
      </w:r>
      <w:r>
        <w:rPr>
          <w:rFonts w:hint="eastAsia" w:ascii="仿宋" w:hAnsi="仿宋" w:eastAsia="仿宋" w:cs="仿宋"/>
          <w:sz w:val="32"/>
          <w:szCs w:val="32"/>
        </w:rPr>
        <w:t>，</w:t>
      </w:r>
      <w:r>
        <w:rPr>
          <w:rFonts w:hint="eastAsia" w:ascii="仿宋" w:hAnsi="仿宋" w:eastAsia="仿宋" w:cs="仿宋"/>
          <w:sz w:val="32"/>
          <w:szCs w:val="32"/>
          <w:lang w:val="en-US" w:eastAsia="zh-CN"/>
        </w:rPr>
        <w:t>包括1个镇政府驻地、4个中心村、36个基层村。</w:t>
      </w:r>
    </w:p>
    <w:p w14:paraId="0385C23B">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强化镇驻地综合服务功能。镇政府驻地是全镇综合服务中心，重点应补齐镇级公共服务设施短板，提升人居环境和风貌品质，增强基础设施综合承载能力，提高镇政府驻地作为全镇的核心载体作用。提升中心村周边联动能力。</w:t>
      </w:r>
    </w:p>
    <w:p w14:paraId="1A998785">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提升中心村对周边村庄的辐射带动能力。规划村级公共服务设施优先向中心村配置，预留服务设施用地。重点补齐教育、医疗、文化、体育等基本服务短板，适当提升设施配置标准，培育村庄特色产业，加强对周边乡村服务带动能力。完善基层村基本服务水平。</w:t>
      </w:r>
    </w:p>
    <w:p w14:paraId="5A154374">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基层村作为基层的农业生产组织单元和社区治理单元，应重点完善提升村庄环卫、交通等基础设施和教育、医疗卫生等公共服务设施，加强与中心村、镇政府驻地等的联通，因地制宜推进村庄特色发展。</w:t>
      </w:r>
    </w:p>
    <w:p w14:paraId="64DE1D05">
      <w:pPr>
        <w:ind w:firstLine="640" w:firstLineChars="200"/>
        <w:rPr>
          <w:rFonts w:hint="default" w:ascii="黑体" w:hAnsi="黑体" w:eastAsia="黑体" w:cs="仿宋"/>
          <w:sz w:val="32"/>
          <w:szCs w:val="32"/>
          <w:lang w:val="en-US" w:eastAsia="zh-CN"/>
        </w:rPr>
      </w:pPr>
      <w:r>
        <w:rPr>
          <w:rFonts w:hint="eastAsia" w:ascii="黑体" w:hAnsi="黑体" w:eastAsia="黑体" w:cs="仿宋"/>
          <w:sz w:val="32"/>
          <w:szCs w:val="32"/>
          <w:lang w:val="en-US" w:eastAsia="zh-CN"/>
        </w:rPr>
        <w:t>十、镇政府驻地</w:t>
      </w:r>
    </w:p>
    <w:p w14:paraId="5095D688">
      <w:pPr>
        <w:ind w:firstLine="640" w:firstLineChars="200"/>
        <w:rPr>
          <w:rFonts w:hint="eastAsia" w:ascii="仿宋" w:hAnsi="仿宋" w:eastAsia="仿宋" w:cs="仿宋"/>
          <w:sz w:val="32"/>
          <w:szCs w:val="32"/>
        </w:rPr>
      </w:pPr>
      <w:r>
        <w:rPr>
          <w:rFonts w:hint="eastAsia" w:ascii="仿宋" w:hAnsi="仿宋" w:eastAsia="仿宋" w:cs="仿宋"/>
          <w:sz w:val="32"/>
          <w:szCs w:val="32"/>
        </w:rPr>
        <w:t>以有机更新为理念，优化镇区用地布局，发挥镇区紧邻</w:t>
      </w:r>
      <w:r>
        <w:rPr>
          <w:rFonts w:hint="eastAsia" w:ascii="仿宋" w:hAnsi="仿宋" w:eastAsia="仿宋" w:cs="仿宋"/>
          <w:sz w:val="32"/>
          <w:szCs w:val="32"/>
          <w:lang w:val="en-US" w:eastAsia="zh-CN"/>
        </w:rPr>
        <w:t>G307和S307</w:t>
      </w:r>
      <w:r>
        <w:rPr>
          <w:rFonts w:hint="eastAsia" w:ascii="仿宋" w:hAnsi="仿宋" w:eastAsia="仿宋" w:cs="仿宋"/>
          <w:sz w:val="32"/>
          <w:szCs w:val="32"/>
        </w:rPr>
        <w:t>的区位优势，按照</w:t>
      </w:r>
      <w:r>
        <w:rPr>
          <w:rFonts w:hint="eastAsia" w:ascii="仿宋" w:hAnsi="仿宋" w:eastAsia="仿宋" w:cs="仿宋"/>
          <w:sz w:val="32"/>
          <w:szCs w:val="32"/>
          <w:lang w:val="en-US" w:eastAsia="zh-CN"/>
        </w:rPr>
        <w:t>乡村</w:t>
      </w:r>
      <w:r>
        <w:rPr>
          <w:rFonts w:hint="eastAsia" w:ascii="仿宋" w:hAnsi="仿宋" w:eastAsia="仿宋" w:cs="仿宋"/>
          <w:sz w:val="32"/>
          <w:szCs w:val="32"/>
        </w:rPr>
        <w:t>生活圈要求完善社区服务、医疗卫生、文化、体育、养老、社区公园等公共服务设施。镇政府驻地国土空间用地规划图所示的土地使用，不作为国土空间用途管制和规划许可以及监督管理的直接依据。具体地块的土地使用性质、开发强度、用地边界和用地兼容等用途管制要求在详细规划中确定，按照法定程序审批后，作为规划实施和监管的法定依据。</w:t>
      </w:r>
    </w:p>
    <w:p w14:paraId="0C6CE23B">
      <w:pPr>
        <w:ind w:firstLine="640" w:firstLineChars="200"/>
        <w:rPr>
          <w:rFonts w:hint="eastAsia" w:ascii="黑体" w:hAnsi="黑体" w:eastAsia="黑体" w:cs="仿宋"/>
          <w:sz w:val="32"/>
          <w:szCs w:val="32"/>
        </w:rPr>
      </w:pPr>
      <w:r>
        <w:rPr>
          <w:rFonts w:hint="eastAsia" w:ascii="黑体" w:hAnsi="黑体" w:eastAsia="黑体" w:cs="仿宋"/>
          <w:sz w:val="32"/>
          <w:szCs w:val="32"/>
          <w:lang w:val="en-US" w:eastAsia="zh-CN"/>
        </w:rPr>
        <w:t>十一、历史文化保护和风貌塑造</w:t>
      </w:r>
    </w:p>
    <w:p w14:paraId="23801A80">
      <w:pPr>
        <w:ind w:firstLine="640" w:firstLineChars="200"/>
        <w:rPr>
          <w:rFonts w:hint="eastAsia" w:ascii="仿宋" w:hAnsi="仿宋" w:eastAsia="仿宋" w:cs="仿宋"/>
          <w:sz w:val="32"/>
          <w:szCs w:val="32"/>
        </w:rPr>
      </w:pPr>
      <w:r>
        <w:rPr>
          <w:rFonts w:hint="eastAsia" w:ascii="仿宋" w:hAnsi="仿宋" w:eastAsia="仿宋" w:cs="仿宋"/>
          <w:sz w:val="32"/>
          <w:szCs w:val="32"/>
        </w:rPr>
        <w:t>充分发掘天长镇的历史文化资源，保护好各历史文化遗产及其历史环境，保护城镇环境、传统格局和历史风貌，继承和弘扬地方优秀传统文化，突出并发扬历史文化名镇的价值与特色。在镇域范围内严格落实各类历史文化保护线，包括各级文物保护单位的保护范围和建设控制地带、历史建筑保护范围，对各类历史文化遗存及周边环境进行统一空间管控。坚持保护与利用相结合的原则，在不破坏传统风貌的前提下，适度发展旅游业和其他文化产业，但要坚持适度有序。</w:t>
      </w:r>
    </w:p>
    <w:p w14:paraId="3D9731D2">
      <w:pPr>
        <w:ind w:firstLine="640" w:firstLineChars="200"/>
        <w:rPr>
          <w:rFonts w:hint="eastAsia" w:ascii="仿宋" w:hAnsi="仿宋" w:eastAsia="仿宋" w:cs="仿宋"/>
          <w:sz w:val="32"/>
          <w:szCs w:val="32"/>
        </w:rPr>
      </w:pPr>
      <w:r>
        <w:rPr>
          <w:rFonts w:hint="eastAsia" w:ascii="仿宋" w:hAnsi="仿宋" w:eastAsia="仿宋" w:cs="仿宋"/>
          <w:sz w:val="32"/>
          <w:szCs w:val="32"/>
        </w:rPr>
        <w:t>天长镇村落建设依山随形就势，独具韵味。乡村风貌塑造要保持原生态完整性和真实性，要以维持村庄自然生产场景的原则进行，延续整体水系格局，以古村落景观为主的农旅加文旅模式，实现古村景观、历史资源、民俗风貌互动。对于村庄的自然本底环境加以保护，延续乡村生产生活的生态肌理。</w:t>
      </w:r>
    </w:p>
    <w:p w14:paraId="50CA567C">
      <w:pPr>
        <w:ind w:firstLine="640" w:firstLineChars="200"/>
        <w:rPr>
          <w:rFonts w:hint="eastAsia" w:ascii="黑体" w:hAnsi="黑体" w:eastAsia="黑体" w:cs="仿宋"/>
          <w:sz w:val="32"/>
          <w:szCs w:val="32"/>
        </w:rPr>
      </w:pPr>
      <w:r>
        <w:rPr>
          <w:rFonts w:hint="eastAsia" w:ascii="黑体" w:hAnsi="黑体" w:eastAsia="黑体" w:cs="仿宋"/>
          <w:sz w:val="32"/>
          <w:szCs w:val="32"/>
          <w:lang w:val="en-US" w:eastAsia="zh-CN"/>
        </w:rPr>
        <w:t>十二、基础设施和综合防灾</w:t>
      </w:r>
    </w:p>
    <w:p w14:paraId="05B0FF48">
      <w:pPr>
        <w:ind w:firstLine="640" w:firstLineChars="200"/>
        <w:rPr>
          <w:rFonts w:hint="eastAsia" w:ascii="仿宋" w:hAnsi="仿宋" w:eastAsia="仿宋" w:cs="仿宋"/>
          <w:sz w:val="32"/>
          <w:szCs w:val="32"/>
        </w:rPr>
      </w:pPr>
      <w:r>
        <w:rPr>
          <w:rFonts w:hint="eastAsia" w:ascii="仿宋" w:hAnsi="仿宋" w:eastAsia="仿宋" w:cs="仿宋"/>
          <w:sz w:val="32"/>
          <w:szCs w:val="32"/>
        </w:rPr>
        <w:t>规划建立以镇政府驻地为中心，G307和S307为交通骨架，通村路为支撑的干支结合、层次分明、功能齐全的网络式综合交通运输体系。规划保留通村道路，以加强各基层村之间，基层村与镇政府驻地、中心村之间的联系。</w:t>
      </w:r>
    </w:p>
    <w:p w14:paraId="1281E6B8">
      <w:pPr>
        <w:ind w:firstLine="640" w:firstLineChars="200"/>
        <w:rPr>
          <w:rFonts w:hint="eastAsia" w:ascii="仿宋" w:hAnsi="仿宋" w:eastAsia="仿宋" w:cs="仿宋"/>
          <w:sz w:val="32"/>
          <w:szCs w:val="32"/>
          <w:lang w:val="en-US" w:eastAsia="zh-CN"/>
        </w:rPr>
      </w:pPr>
      <w:r>
        <w:rPr>
          <w:rFonts w:ascii="仿宋" w:hAnsi="仿宋" w:eastAsia="仿宋" w:cs="仿宋"/>
          <w:sz w:val="32"/>
          <w:szCs w:val="32"/>
          <w:lang w:val="en-US" w:eastAsia="zh-CN"/>
        </w:rPr>
        <w:t>健全城乡供水体系，优化供水格局，</w:t>
      </w:r>
      <w:r>
        <w:rPr>
          <w:rFonts w:hint="eastAsia" w:ascii="仿宋" w:hAnsi="仿宋" w:eastAsia="仿宋" w:cs="仿宋"/>
          <w:sz w:val="32"/>
          <w:szCs w:val="32"/>
          <w:lang w:val="en-US" w:eastAsia="zh-CN"/>
        </w:rPr>
        <w:t>提高供水保障能力。天长镇供水主要通过自备井形式，水源主要来自地下水。</w:t>
      </w:r>
    </w:p>
    <w:p w14:paraId="7A2DE4F0">
      <w:pPr>
        <w:ind w:firstLine="640" w:firstLineChars="200"/>
        <w:rPr>
          <w:rFonts w:ascii="仿宋" w:hAnsi="仿宋" w:eastAsia="仿宋" w:cs="仿宋"/>
          <w:sz w:val="32"/>
          <w:szCs w:val="32"/>
        </w:rPr>
      </w:pPr>
      <w:r>
        <w:rPr>
          <w:rFonts w:hint="eastAsia" w:ascii="仿宋" w:hAnsi="仿宋" w:eastAsia="仿宋" w:cs="仿宋"/>
          <w:sz w:val="32"/>
          <w:szCs w:val="32"/>
          <w:lang w:val="en-US" w:eastAsia="zh-CN"/>
        </w:rPr>
        <w:t>优化调整能源结构，加强能源基础设施建设，着力提升法治化、信息化、智能化管理水平，建设清洁低碳、安全高效、开放融合的现代能源体系。</w:t>
      </w:r>
    </w:p>
    <w:p w14:paraId="79B3AC64">
      <w:pPr>
        <w:ind w:firstLine="640" w:firstLineChars="200"/>
        <w:rPr>
          <w:rFonts w:ascii="仿宋" w:hAnsi="仿宋" w:eastAsia="仿宋" w:cs="仿宋"/>
          <w:sz w:val="32"/>
          <w:szCs w:val="32"/>
        </w:rPr>
      </w:pPr>
      <w:r>
        <w:rPr>
          <w:rFonts w:hint="eastAsia" w:ascii="仿宋" w:hAnsi="仿宋" w:eastAsia="仿宋" w:cs="仿宋"/>
          <w:sz w:val="32"/>
          <w:szCs w:val="32"/>
          <w:lang w:val="en-US" w:eastAsia="zh-CN"/>
        </w:rPr>
        <w:t>坚持以防为主、防抗救相结合，加强全镇各类灾害风险监测预警能力建设，提高城乡基础设施韧性，建设和完善各类防灾减灾基础设施与应急服务设施，建立健全面向多种灾害风险的综合防灾体系。</w:t>
      </w:r>
    </w:p>
    <w:p w14:paraId="27AC1076">
      <w:pPr>
        <w:ind w:firstLine="640" w:firstLineChars="200"/>
        <w:rPr>
          <w:rFonts w:hint="eastAsia" w:ascii="黑体" w:hAnsi="黑体" w:eastAsia="黑体" w:cs="仿宋"/>
          <w:sz w:val="32"/>
          <w:szCs w:val="32"/>
          <w:lang w:val="en-US" w:eastAsia="zh-CN"/>
        </w:rPr>
      </w:pPr>
      <w:r>
        <w:rPr>
          <w:rFonts w:hint="eastAsia" w:ascii="黑体" w:hAnsi="黑体" w:eastAsia="黑体" w:cs="仿宋"/>
          <w:sz w:val="32"/>
          <w:szCs w:val="32"/>
          <w:lang w:val="en-US" w:eastAsia="zh-CN"/>
        </w:rPr>
        <w:t>十三、规划传导和实施保障</w:t>
      </w:r>
    </w:p>
    <w:p w14:paraId="35208BEA">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对上位规划的落实。落实县级规划对天长镇的职能定位、主体功能区耕地保护目标、永久基本农田保护面积等约束性指标，以及镇村空间、区域主要设施等方面内容。</w:t>
      </w:r>
    </w:p>
    <w:p w14:paraId="3EC27C1C">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对详细规划的传导。结合井陉县村庄分类布局成果，确定村庄规划编制单元，明确村庄规划编制数量和名单；对村庄规划提出等级类型、发展方向等引导，划定村庄建设用地边界；将耕地和永久基本农田等底线管控的指标规模和空间布局传导至村庄。</w:t>
      </w:r>
    </w:p>
    <w:p w14:paraId="587E2F91">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村庄规划编制单元划分。统筹推进辖区内村庄规划编制，确定村庄规划编制单元。位于镇区城镇开发边界内的村庄，不再单独编制村庄规划，纳入乡镇规划统筹编制。</w:t>
      </w:r>
    </w:p>
    <w:p w14:paraId="4291506A">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统一国土空间用途管制。严格依据国土空间规划，实施国土空间用途管制。建立全域覆盖、协调统一的用途管制规则，依据国土空间规划确定的分区和用途，统筹全域、全类型、多层次自然资源要素，制定不同功能空间、不同</w:t>
      </w:r>
      <w:bookmarkStart w:id="0" w:name="_GoBack"/>
      <w:bookmarkEnd w:id="0"/>
      <w:r>
        <w:rPr>
          <w:rFonts w:hint="eastAsia" w:ascii="仿宋" w:hAnsi="仿宋" w:eastAsia="仿宋" w:cs="仿宋"/>
          <w:sz w:val="32"/>
          <w:szCs w:val="32"/>
          <w:lang w:val="en-US" w:eastAsia="zh-CN"/>
        </w:rPr>
        <w:t>用途的转换规则，明确转换方向、条件和管理要求，加强城镇乡村空间的统一用途管制。</w:t>
      </w:r>
    </w:p>
    <w:p w14:paraId="738BF889">
      <w:pPr>
        <w:ind w:firstLine="640" w:firstLineChars="200"/>
        <w:rPr>
          <w:rFonts w:hint="eastAsia" w:ascii="仿宋" w:hAnsi="仿宋" w:eastAsia="仿宋" w:cs="仿宋"/>
          <w:sz w:val="32"/>
          <w:szCs w:val="32"/>
          <w:lang w:val="en-US" w:eastAsia="zh-CN"/>
        </w:rPr>
      </w:pPr>
    </w:p>
    <w:p w14:paraId="601DC2F0">
      <w:pPr>
        <w:ind w:firstLine="640" w:firstLineChars="200"/>
        <w:rPr>
          <w:rFonts w:ascii="仿宋" w:hAnsi="仿宋" w:eastAsia="仿宋" w:cs="仿宋"/>
          <w:sz w:val="32"/>
          <w:szCs w:val="32"/>
        </w:rPr>
      </w:pPr>
    </w:p>
    <w:p w14:paraId="596A9C66">
      <w:pPr>
        <w:ind w:firstLine="640" w:firstLineChars="200"/>
        <w:rPr>
          <w:rFonts w:ascii="仿宋" w:hAnsi="仿宋" w:eastAsia="仿宋" w:cs="仿宋"/>
          <w:sz w:val="32"/>
          <w:szCs w:val="32"/>
        </w:rPr>
      </w:pPr>
    </w:p>
    <w:p w14:paraId="4B35E00A">
      <w:pPr>
        <w:ind w:firstLine="640" w:firstLineChars="200"/>
        <w:rPr>
          <w:rFonts w:ascii="仿宋" w:hAnsi="仿宋" w:eastAsia="仿宋" w:cs="仿宋"/>
          <w:sz w:val="32"/>
          <w:szCs w:val="32"/>
        </w:rPr>
      </w:pPr>
    </w:p>
    <w:p w14:paraId="393345FC">
      <w:pPr>
        <w:ind w:firstLine="640" w:firstLineChars="200"/>
        <w:rPr>
          <w:rFonts w:hint="eastAsia" w:ascii="仿宋" w:hAnsi="仿宋" w:eastAsia="仿宋" w:cs="仿宋"/>
          <w:sz w:val="32"/>
          <w:szCs w:val="32"/>
        </w:rPr>
        <w:sectPr>
          <w:pgSz w:w="11906" w:h="16838"/>
          <w:pgMar w:top="1440" w:right="1800" w:bottom="1440" w:left="1800" w:header="851" w:footer="992" w:gutter="0"/>
          <w:cols w:space="425" w:num="1"/>
          <w:docGrid w:type="lines" w:linePitch="312" w:charSpace="0"/>
        </w:sectPr>
      </w:pPr>
    </w:p>
    <w:p w14:paraId="595551E3">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drawing>
          <wp:anchor distT="0" distB="0" distL="114300" distR="114300" simplePos="0" relativeHeight="251659264" behindDoc="0" locked="0" layoutInCell="1" allowOverlap="1">
            <wp:simplePos x="0" y="0"/>
            <wp:positionH relativeFrom="column">
              <wp:posOffset>-1141095</wp:posOffset>
            </wp:positionH>
            <wp:positionV relativeFrom="paragraph">
              <wp:posOffset>-914400</wp:posOffset>
            </wp:positionV>
            <wp:extent cx="7563485" cy="10692130"/>
            <wp:effectExtent l="0" t="0" r="10795" b="6350"/>
            <wp:wrapNone/>
            <wp:docPr id="1576078581" name="图片 6" descr="G:/130121102天长镇国土空间总体规划电子成果数据last/2栅格图件/130121102天长镇03国土空间控制线规划图.jpg130121102天长镇03国土空间控制线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6078581" name="图片 6" descr="G:/130121102天长镇国土空间总体规划电子成果数据last/2栅格图件/130121102天长镇03国土空间控制线规划图.jpg130121102天长镇03国土空间控制线规划图"/>
                    <pic:cNvPicPr>
                      <a:picLocks noChangeAspect="1"/>
                    </pic:cNvPicPr>
                  </pic:nvPicPr>
                  <pic:blipFill>
                    <a:blip r:embed="rId4"/>
                    <a:srcRect t="29" b="29"/>
                    <a:stretch>
                      <a:fillRect/>
                    </a:stretch>
                  </pic:blipFill>
                  <pic:spPr>
                    <a:xfrm>
                      <a:off x="0" y="0"/>
                      <a:ext cx="7563485" cy="10692130"/>
                    </a:xfrm>
                    <a:prstGeom prst="rect">
                      <a:avLst/>
                    </a:prstGeom>
                  </pic:spPr>
                </pic:pic>
              </a:graphicData>
            </a:graphic>
          </wp:anchor>
        </w:drawing>
      </w:r>
      <w:r>
        <w:rPr>
          <w:rFonts w:hint="eastAsia" w:ascii="仿宋" w:hAnsi="仿宋" w:eastAsia="仿宋" w:cs="仿宋"/>
          <w:sz w:val="32"/>
          <w:szCs w:val="32"/>
        </w:rPr>
        <w:br w:type="page"/>
      </w:r>
    </w:p>
    <w:p w14:paraId="562265E0">
      <w:pPr>
        <w:ind w:firstLine="640" w:firstLineChars="200"/>
        <w:rPr>
          <w:rFonts w:hint="eastAsia" w:ascii="仿宋" w:hAnsi="仿宋" w:eastAsia="仿宋" w:cs="仿宋"/>
          <w:sz w:val="32"/>
          <w:szCs w:val="32"/>
        </w:rPr>
      </w:pPr>
      <w:r>
        <w:rPr>
          <w:rFonts w:hint="eastAsia" w:ascii="仿宋" w:hAnsi="仿宋" w:eastAsia="仿宋" w:cs="仿宋"/>
          <w:sz w:val="32"/>
          <w:szCs w:val="32"/>
        </w:rPr>
        <w:drawing>
          <wp:anchor distT="0" distB="0" distL="114300" distR="114300" simplePos="0" relativeHeight="251660288" behindDoc="0" locked="0" layoutInCell="1" allowOverlap="1">
            <wp:simplePos x="0" y="0"/>
            <wp:positionH relativeFrom="column">
              <wp:posOffset>-1141095</wp:posOffset>
            </wp:positionH>
            <wp:positionV relativeFrom="paragraph">
              <wp:posOffset>-914400</wp:posOffset>
            </wp:positionV>
            <wp:extent cx="7563485" cy="10692130"/>
            <wp:effectExtent l="0" t="0" r="10795" b="6350"/>
            <wp:wrapNone/>
            <wp:docPr id="4" name="图片 6" descr="G:/130121102天长镇国土空间总体规划电子成果数据last/2栅格图件/130121102天长镇02国土空间总体格局规划图.jpg130121102天长镇02国土空间总体格局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6" descr="G:/130121102天长镇国土空间总体规划电子成果数据last/2栅格图件/130121102天长镇02国土空间总体格局规划图.jpg130121102天长镇02国土空间总体格局规划图"/>
                    <pic:cNvPicPr>
                      <a:picLocks noChangeAspect="1"/>
                    </pic:cNvPicPr>
                  </pic:nvPicPr>
                  <pic:blipFill>
                    <a:blip r:embed="rId5"/>
                    <a:srcRect t="29" b="29"/>
                    <a:stretch>
                      <a:fillRect/>
                    </a:stretch>
                  </pic:blipFill>
                  <pic:spPr>
                    <a:xfrm>
                      <a:off x="0" y="0"/>
                      <a:ext cx="7563485" cy="10692130"/>
                    </a:xfrm>
                    <a:prstGeom prst="rect">
                      <a:avLst/>
                    </a:prstGeom>
                  </pic:spPr>
                </pic:pic>
              </a:graphicData>
            </a:graphic>
          </wp:anchor>
        </w:drawing>
      </w:r>
      <w:r>
        <w:rPr>
          <w:rFonts w:hint="eastAsia" w:ascii="仿宋" w:hAnsi="仿宋" w:eastAsia="仿宋" w:cs="仿宋"/>
          <w:sz w:val="32"/>
          <w:szCs w:val="32"/>
        </w:rPr>
        <w:br w:type="page"/>
      </w:r>
    </w:p>
    <w:p w14:paraId="7E22FC86">
      <w:pPr>
        <w:ind w:firstLine="640" w:firstLineChars="200"/>
        <w:rPr>
          <w:rFonts w:hint="eastAsia" w:ascii="仿宋" w:hAnsi="仿宋" w:eastAsia="仿宋" w:cs="仿宋"/>
          <w:sz w:val="32"/>
          <w:szCs w:val="32"/>
        </w:rPr>
      </w:pPr>
      <w:r>
        <w:rPr>
          <w:rFonts w:hint="eastAsia" w:ascii="仿宋" w:hAnsi="仿宋" w:eastAsia="仿宋" w:cs="仿宋"/>
          <w:sz w:val="32"/>
          <w:szCs w:val="32"/>
        </w:rPr>
        <w:drawing>
          <wp:anchor distT="0" distB="0" distL="114300" distR="114300" simplePos="0" relativeHeight="251661312" behindDoc="0" locked="0" layoutInCell="1" allowOverlap="1">
            <wp:simplePos x="0" y="0"/>
            <wp:positionH relativeFrom="column">
              <wp:posOffset>-1141095</wp:posOffset>
            </wp:positionH>
            <wp:positionV relativeFrom="paragraph">
              <wp:posOffset>-914400</wp:posOffset>
            </wp:positionV>
            <wp:extent cx="7563485" cy="10692130"/>
            <wp:effectExtent l="0" t="0" r="10795" b="6350"/>
            <wp:wrapNone/>
            <wp:docPr id="5" name="图片 6" descr="G:/130121102天长镇国土空间总体规划电子成果数据last/2栅格图件/130121102天长镇10村庄布点规划图.jpg130121102天长镇10村庄布点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6" descr="G:/130121102天长镇国土空间总体规划电子成果数据last/2栅格图件/130121102天长镇10村庄布点规划图.jpg130121102天长镇10村庄布点规划图"/>
                    <pic:cNvPicPr>
                      <a:picLocks noChangeAspect="1"/>
                    </pic:cNvPicPr>
                  </pic:nvPicPr>
                  <pic:blipFill>
                    <a:blip r:embed="rId6"/>
                    <a:srcRect t="29" b="29"/>
                    <a:stretch>
                      <a:fillRect/>
                    </a:stretch>
                  </pic:blipFill>
                  <pic:spPr>
                    <a:xfrm>
                      <a:off x="0" y="0"/>
                      <a:ext cx="7563485" cy="10692130"/>
                    </a:xfrm>
                    <a:prstGeom prst="rect">
                      <a:avLst/>
                    </a:prstGeom>
                  </pic:spPr>
                </pic:pic>
              </a:graphicData>
            </a:graphic>
          </wp:anchor>
        </w:drawing>
      </w:r>
      <w:r>
        <w:rPr>
          <w:rFonts w:hint="eastAsia" w:ascii="仿宋" w:hAnsi="仿宋" w:eastAsia="仿宋" w:cs="仿宋"/>
          <w:sz w:val="32"/>
          <w:szCs w:val="32"/>
        </w:rPr>
        <w:br w:type="page"/>
      </w:r>
      <w:r>
        <w:rPr>
          <w:rFonts w:hint="eastAsia" w:ascii="仿宋" w:hAnsi="仿宋" w:eastAsia="仿宋" w:cs="仿宋"/>
          <w:sz w:val="32"/>
          <w:szCs w:val="32"/>
        </w:rPr>
        <w:drawing>
          <wp:anchor distT="0" distB="0" distL="114300" distR="114300" simplePos="0" relativeHeight="251662336" behindDoc="0" locked="0" layoutInCell="1" allowOverlap="1">
            <wp:simplePos x="0" y="0"/>
            <wp:positionH relativeFrom="column">
              <wp:posOffset>-1141095</wp:posOffset>
            </wp:positionH>
            <wp:positionV relativeFrom="paragraph">
              <wp:posOffset>-914400</wp:posOffset>
            </wp:positionV>
            <wp:extent cx="7563485" cy="10692130"/>
            <wp:effectExtent l="0" t="0" r="10795" b="6350"/>
            <wp:wrapNone/>
            <wp:docPr id="6" name="图片 6" descr="G:/130121102天长镇国土空间总体规划电子成果数据last/2栅格图件/130121102天长镇15国土空间规划分区图.jpg130121102天长镇15国土空间规划分区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G:/130121102天长镇国土空间总体规划电子成果数据last/2栅格图件/130121102天长镇15国土空间规划分区图.jpg130121102天长镇15国土空间规划分区图"/>
                    <pic:cNvPicPr>
                      <a:picLocks noChangeAspect="1"/>
                    </pic:cNvPicPr>
                  </pic:nvPicPr>
                  <pic:blipFill>
                    <a:blip r:embed="rId7"/>
                    <a:srcRect t="29" b="29"/>
                    <a:stretch>
                      <a:fillRect/>
                    </a:stretch>
                  </pic:blipFill>
                  <pic:spPr>
                    <a:xfrm>
                      <a:off x="0" y="0"/>
                      <a:ext cx="7563485" cy="10692130"/>
                    </a:xfrm>
                    <a:prstGeom prst="rect">
                      <a:avLst/>
                    </a:prstGeom>
                  </pic:spPr>
                </pic:pic>
              </a:graphicData>
            </a:graphic>
          </wp:anchor>
        </w:drawing>
      </w:r>
    </w:p>
    <w:sectPr>
      <w:pgSz w:w="11906" w:h="16838"/>
      <w:pgMar w:top="1440" w:right="1797" w:bottom="1440"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方正小标宋_GBK">
    <w:altName w:val="方正小标宋_GBK"/>
    <w:panose1 w:val="02000000000000000000"/>
    <w:charset w:val="86"/>
    <w:family w:val="script"/>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6E36"/>
    <w:rsid w:val="00096A1A"/>
    <w:rsid w:val="000C45FC"/>
    <w:rsid w:val="001103F0"/>
    <w:rsid w:val="00110998"/>
    <w:rsid w:val="00294239"/>
    <w:rsid w:val="0032233C"/>
    <w:rsid w:val="004728E6"/>
    <w:rsid w:val="00480AEC"/>
    <w:rsid w:val="004F2A33"/>
    <w:rsid w:val="00510BD5"/>
    <w:rsid w:val="005933C0"/>
    <w:rsid w:val="00600F9A"/>
    <w:rsid w:val="00631BEB"/>
    <w:rsid w:val="006406B0"/>
    <w:rsid w:val="006A6E2C"/>
    <w:rsid w:val="006C56F6"/>
    <w:rsid w:val="006D5371"/>
    <w:rsid w:val="00761BD0"/>
    <w:rsid w:val="007806EE"/>
    <w:rsid w:val="00866D0F"/>
    <w:rsid w:val="00873573"/>
    <w:rsid w:val="008A0C9F"/>
    <w:rsid w:val="008C1684"/>
    <w:rsid w:val="009072C9"/>
    <w:rsid w:val="009204CF"/>
    <w:rsid w:val="00963249"/>
    <w:rsid w:val="009B4A82"/>
    <w:rsid w:val="00A11EBA"/>
    <w:rsid w:val="00A24A70"/>
    <w:rsid w:val="00A4111C"/>
    <w:rsid w:val="00A87984"/>
    <w:rsid w:val="00AC254A"/>
    <w:rsid w:val="00AD42DF"/>
    <w:rsid w:val="00B14ECE"/>
    <w:rsid w:val="00B64658"/>
    <w:rsid w:val="00B7575C"/>
    <w:rsid w:val="00BD560B"/>
    <w:rsid w:val="00C65A82"/>
    <w:rsid w:val="00C70D15"/>
    <w:rsid w:val="00C82201"/>
    <w:rsid w:val="00C970F6"/>
    <w:rsid w:val="00CA133D"/>
    <w:rsid w:val="00D51D79"/>
    <w:rsid w:val="00D762D2"/>
    <w:rsid w:val="00D93D1A"/>
    <w:rsid w:val="00E0048D"/>
    <w:rsid w:val="00E211FD"/>
    <w:rsid w:val="00E4137A"/>
    <w:rsid w:val="00F46E36"/>
    <w:rsid w:val="00FA587B"/>
    <w:rsid w:val="0159126E"/>
    <w:rsid w:val="01B336E1"/>
    <w:rsid w:val="035D43E1"/>
    <w:rsid w:val="03890617"/>
    <w:rsid w:val="03FA6D38"/>
    <w:rsid w:val="04133956"/>
    <w:rsid w:val="064D59E4"/>
    <w:rsid w:val="06FB38F9"/>
    <w:rsid w:val="07261BF2"/>
    <w:rsid w:val="08FC70AE"/>
    <w:rsid w:val="092A482C"/>
    <w:rsid w:val="0AB67731"/>
    <w:rsid w:val="0E63381E"/>
    <w:rsid w:val="0F056591"/>
    <w:rsid w:val="0FAC4C5F"/>
    <w:rsid w:val="10516B0A"/>
    <w:rsid w:val="11C325BC"/>
    <w:rsid w:val="123C49C0"/>
    <w:rsid w:val="124E024F"/>
    <w:rsid w:val="133751B0"/>
    <w:rsid w:val="13AE369B"/>
    <w:rsid w:val="154D0C92"/>
    <w:rsid w:val="15FF1F8C"/>
    <w:rsid w:val="1615681E"/>
    <w:rsid w:val="1A5D1977"/>
    <w:rsid w:val="1BA3785E"/>
    <w:rsid w:val="1E48649A"/>
    <w:rsid w:val="1E4E75BB"/>
    <w:rsid w:val="1EAC6A29"/>
    <w:rsid w:val="1FC71AD9"/>
    <w:rsid w:val="2127683B"/>
    <w:rsid w:val="227C4964"/>
    <w:rsid w:val="24912949"/>
    <w:rsid w:val="249E0BC2"/>
    <w:rsid w:val="24AC7783"/>
    <w:rsid w:val="24CE594B"/>
    <w:rsid w:val="250B3776"/>
    <w:rsid w:val="27312FD9"/>
    <w:rsid w:val="27675BE3"/>
    <w:rsid w:val="28F45255"/>
    <w:rsid w:val="298D3110"/>
    <w:rsid w:val="2B577D1D"/>
    <w:rsid w:val="2C106849"/>
    <w:rsid w:val="2CF75313"/>
    <w:rsid w:val="2D9E7E85"/>
    <w:rsid w:val="2E3305CD"/>
    <w:rsid w:val="2F106B60"/>
    <w:rsid w:val="303D3985"/>
    <w:rsid w:val="3082583C"/>
    <w:rsid w:val="3125357B"/>
    <w:rsid w:val="31395673"/>
    <w:rsid w:val="31480833"/>
    <w:rsid w:val="32285F6F"/>
    <w:rsid w:val="33C341A1"/>
    <w:rsid w:val="363F5D8A"/>
    <w:rsid w:val="366E2AEA"/>
    <w:rsid w:val="36941E25"/>
    <w:rsid w:val="372C6501"/>
    <w:rsid w:val="39706B79"/>
    <w:rsid w:val="3A9B19D4"/>
    <w:rsid w:val="3AB94550"/>
    <w:rsid w:val="3D036C4A"/>
    <w:rsid w:val="3D2040F8"/>
    <w:rsid w:val="3F1E2BD3"/>
    <w:rsid w:val="3F4168C2"/>
    <w:rsid w:val="3F5605BF"/>
    <w:rsid w:val="402B37FA"/>
    <w:rsid w:val="42415557"/>
    <w:rsid w:val="444B446B"/>
    <w:rsid w:val="46811409"/>
    <w:rsid w:val="46A04AA9"/>
    <w:rsid w:val="47095CF7"/>
    <w:rsid w:val="47280A93"/>
    <w:rsid w:val="478B1022"/>
    <w:rsid w:val="48965ED0"/>
    <w:rsid w:val="4AA30431"/>
    <w:rsid w:val="4AB9081B"/>
    <w:rsid w:val="4B767771"/>
    <w:rsid w:val="4BC6087B"/>
    <w:rsid w:val="4D986B63"/>
    <w:rsid w:val="4FD474D1"/>
    <w:rsid w:val="4FE45773"/>
    <w:rsid w:val="50112E48"/>
    <w:rsid w:val="50D43A3A"/>
    <w:rsid w:val="524D13AE"/>
    <w:rsid w:val="526D26F8"/>
    <w:rsid w:val="52D25D57"/>
    <w:rsid w:val="53B65679"/>
    <w:rsid w:val="54996B2C"/>
    <w:rsid w:val="55FA2C6E"/>
    <w:rsid w:val="56F75D8C"/>
    <w:rsid w:val="570A5ABF"/>
    <w:rsid w:val="57B819BF"/>
    <w:rsid w:val="57F10A2D"/>
    <w:rsid w:val="5BA34735"/>
    <w:rsid w:val="5CE813E2"/>
    <w:rsid w:val="5D0E2082"/>
    <w:rsid w:val="5D9C35FC"/>
    <w:rsid w:val="5E3A3003"/>
    <w:rsid w:val="60885CA7"/>
    <w:rsid w:val="63DC07E4"/>
    <w:rsid w:val="64151F48"/>
    <w:rsid w:val="64AA2690"/>
    <w:rsid w:val="65C97DB7"/>
    <w:rsid w:val="67AE4C4D"/>
    <w:rsid w:val="67C05CC3"/>
    <w:rsid w:val="68CB7079"/>
    <w:rsid w:val="6A1011E7"/>
    <w:rsid w:val="6B9320D0"/>
    <w:rsid w:val="6C88775B"/>
    <w:rsid w:val="6CF44DF0"/>
    <w:rsid w:val="6E386F5E"/>
    <w:rsid w:val="6ECF78C3"/>
    <w:rsid w:val="6FA40C91"/>
    <w:rsid w:val="701D01BA"/>
    <w:rsid w:val="70A52175"/>
    <w:rsid w:val="70DD3DED"/>
    <w:rsid w:val="737A5923"/>
    <w:rsid w:val="747B5DF7"/>
    <w:rsid w:val="750E27C7"/>
    <w:rsid w:val="757A4300"/>
    <w:rsid w:val="75826D11"/>
    <w:rsid w:val="760C2423"/>
    <w:rsid w:val="764A3CD3"/>
    <w:rsid w:val="789B0816"/>
    <w:rsid w:val="78AA6CAB"/>
    <w:rsid w:val="7A511B1E"/>
    <w:rsid w:val="7AE71AF0"/>
    <w:rsid w:val="7B18439F"/>
    <w:rsid w:val="7B2B3A81"/>
    <w:rsid w:val="7C0B3F04"/>
    <w:rsid w:val="7D893333"/>
    <w:rsid w:val="7F9B10FB"/>
    <w:rsid w:val="7FCC7507"/>
    <w:rsid w:val="7FF932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7"/>
    <w:qFormat/>
    <w:uiPriority w:val="9"/>
    <w:pPr>
      <w:keepNext/>
      <w:keepLines/>
      <w:spacing w:before="480" w:after="80"/>
      <w:outlineLvl w:val="0"/>
    </w:pPr>
    <w:rPr>
      <w:rFonts w:asciiTheme="majorHAnsi" w:hAnsiTheme="majorHAnsi" w:eastAsiaTheme="majorEastAsia" w:cstheme="majorBidi"/>
      <w:color w:val="2F5597" w:themeColor="accent1" w:themeShade="BF"/>
      <w:sz w:val="48"/>
      <w:szCs w:val="48"/>
    </w:rPr>
  </w:style>
  <w:style w:type="paragraph" w:styleId="3">
    <w:name w:val="heading 2"/>
    <w:basedOn w:val="1"/>
    <w:next w:val="1"/>
    <w:link w:val="18"/>
    <w:semiHidden/>
    <w:unhideWhenUsed/>
    <w:qFormat/>
    <w:uiPriority w:val="9"/>
    <w:pPr>
      <w:keepNext/>
      <w:keepLines/>
      <w:spacing w:before="160" w:after="80"/>
      <w:outlineLvl w:val="1"/>
    </w:pPr>
    <w:rPr>
      <w:rFonts w:asciiTheme="majorHAnsi" w:hAnsiTheme="majorHAnsi" w:eastAsiaTheme="majorEastAsia" w:cstheme="majorBidi"/>
      <w:color w:val="2F5597" w:themeColor="accent1" w:themeShade="BF"/>
      <w:sz w:val="40"/>
      <w:szCs w:val="40"/>
    </w:rPr>
  </w:style>
  <w:style w:type="paragraph" w:styleId="4">
    <w:name w:val="heading 3"/>
    <w:basedOn w:val="1"/>
    <w:next w:val="1"/>
    <w:link w:val="19"/>
    <w:semiHidden/>
    <w:unhideWhenUsed/>
    <w:qFormat/>
    <w:uiPriority w:val="9"/>
    <w:pPr>
      <w:keepNext/>
      <w:keepLines/>
      <w:spacing w:before="160" w:after="80"/>
      <w:outlineLvl w:val="2"/>
    </w:pPr>
    <w:rPr>
      <w:rFonts w:asciiTheme="majorHAnsi" w:hAnsiTheme="majorHAnsi" w:eastAsiaTheme="majorEastAsia" w:cstheme="majorBidi"/>
      <w:color w:val="2F5597" w:themeColor="accent1" w:themeShade="BF"/>
      <w:sz w:val="32"/>
      <w:szCs w:val="32"/>
    </w:rPr>
  </w:style>
  <w:style w:type="paragraph" w:styleId="5">
    <w:name w:val="heading 4"/>
    <w:basedOn w:val="1"/>
    <w:next w:val="1"/>
    <w:link w:val="20"/>
    <w:semiHidden/>
    <w:unhideWhenUsed/>
    <w:qFormat/>
    <w:uiPriority w:val="9"/>
    <w:pPr>
      <w:keepNext/>
      <w:keepLines/>
      <w:spacing w:before="80" w:after="40"/>
      <w:outlineLvl w:val="3"/>
    </w:pPr>
    <w:rPr>
      <w:rFonts w:cstheme="majorBidi"/>
      <w:color w:val="2F5597" w:themeColor="accent1" w:themeShade="BF"/>
      <w:sz w:val="28"/>
      <w:szCs w:val="28"/>
    </w:rPr>
  </w:style>
  <w:style w:type="paragraph" w:styleId="6">
    <w:name w:val="heading 5"/>
    <w:basedOn w:val="1"/>
    <w:next w:val="1"/>
    <w:link w:val="21"/>
    <w:semiHidden/>
    <w:unhideWhenUsed/>
    <w:qFormat/>
    <w:uiPriority w:val="9"/>
    <w:pPr>
      <w:keepNext/>
      <w:keepLines/>
      <w:spacing w:before="80" w:after="40"/>
      <w:outlineLvl w:val="4"/>
    </w:pPr>
    <w:rPr>
      <w:rFonts w:cstheme="majorBidi"/>
      <w:color w:val="2F5597" w:themeColor="accent1" w:themeShade="BF"/>
      <w:sz w:val="24"/>
      <w:szCs w:val="24"/>
    </w:rPr>
  </w:style>
  <w:style w:type="paragraph" w:styleId="7">
    <w:name w:val="heading 6"/>
    <w:basedOn w:val="1"/>
    <w:next w:val="1"/>
    <w:link w:val="22"/>
    <w:semiHidden/>
    <w:unhideWhenUsed/>
    <w:qFormat/>
    <w:uiPriority w:val="9"/>
    <w:pPr>
      <w:keepNext/>
      <w:keepLines/>
      <w:spacing w:before="40"/>
      <w:outlineLvl w:val="5"/>
    </w:pPr>
    <w:rPr>
      <w:rFonts w:cstheme="majorBidi"/>
      <w:b/>
      <w:bCs/>
      <w:color w:val="2F5597" w:themeColor="accent1" w:themeShade="BF"/>
    </w:rPr>
  </w:style>
  <w:style w:type="paragraph" w:styleId="8">
    <w:name w:val="heading 7"/>
    <w:basedOn w:val="1"/>
    <w:next w:val="1"/>
    <w:link w:val="23"/>
    <w:semiHidden/>
    <w:unhideWhenUsed/>
    <w:qFormat/>
    <w:uiPriority w:val="9"/>
    <w:pPr>
      <w:keepNext/>
      <w:keepLines/>
      <w:spacing w:before="4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4"/>
    <w:semiHidden/>
    <w:unhideWhenUsed/>
    <w:qFormat/>
    <w:uiPriority w:val="9"/>
    <w:pPr>
      <w:keepNext/>
      <w:keepLines/>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25"/>
    <w:semiHidden/>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6">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1">
    <w:name w:val="footer"/>
    <w:basedOn w:val="1"/>
    <w:link w:val="38"/>
    <w:unhideWhenUsed/>
    <w:qFormat/>
    <w:uiPriority w:val="99"/>
    <w:pPr>
      <w:tabs>
        <w:tab w:val="center" w:pos="4153"/>
        <w:tab w:val="right" w:pos="8306"/>
      </w:tabs>
      <w:snapToGrid w:val="0"/>
      <w:jc w:val="left"/>
    </w:pPr>
    <w:rPr>
      <w:sz w:val="18"/>
      <w:szCs w:val="18"/>
    </w:rPr>
  </w:style>
  <w:style w:type="paragraph" w:styleId="12">
    <w:name w:val="header"/>
    <w:basedOn w:val="1"/>
    <w:link w:val="37"/>
    <w:unhideWhenUsed/>
    <w:qFormat/>
    <w:uiPriority w:val="99"/>
    <w:pPr>
      <w:tabs>
        <w:tab w:val="center" w:pos="4153"/>
        <w:tab w:val="right" w:pos="8306"/>
      </w:tabs>
      <w:snapToGrid w:val="0"/>
      <w:jc w:val="center"/>
    </w:pPr>
    <w:rPr>
      <w:sz w:val="18"/>
      <w:szCs w:val="18"/>
    </w:rPr>
  </w:style>
  <w:style w:type="paragraph" w:styleId="13">
    <w:name w:val="Subtitle"/>
    <w:basedOn w:val="1"/>
    <w:next w:val="1"/>
    <w:link w:val="27"/>
    <w:qFormat/>
    <w:uiPriority w:val="11"/>
    <w:pPr>
      <w:spacing w:after="160"/>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4">
    <w:name w:val="Title"/>
    <w:basedOn w:val="1"/>
    <w:next w:val="1"/>
    <w:link w:val="26"/>
    <w:qFormat/>
    <w:uiPriority w:val="10"/>
    <w:pPr>
      <w:spacing w:after="80"/>
      <w:contextualSpacing/>
      <w:jc w:val="center"/>
    </w:pPr>
    <w:rPr>
      <w:rFonts w:asciiTheme="majorHAnsi" w:hAnsiTheme="majorHAnsi" w:eastAsiaTheme="majorEastAsia" w:cstheme="majorBidi"/>
      <w:spacing w:val="-10"/>
      <w:kern w:val="28"/>
      <w:sz w:val="56"/>
      <w:szCs w:val="56"/>
    </w:rPr>
  </w:style>
  <w:style w:type="character" w:customStyle="1" w:styleId="17">
    <w:name w:val="标题 1 字符"/>
    <w:basedOn w:val="16"/>
    <w:link w:val="2"/>
    <w:qFormat/>
    <w:uiPriority w:val="9"/>
    <w:rPr>
      <w:rFonts w:asciiTheme="majorHAnsi" w:hAnsiTheme="majorHAnsi" w:eastAsiaTheme="majorEastAsia" w:cstheme="majorBidi"/>
      <w:color w:val="2F5597" w:themeColor="accent1" w:themeShade="BF"/>
      <w:sz w:val="48"/>
      <w:szCs w:val="48"/>
    </w:rPr>
  </w:style>
  <w:style w:type="character" w:customStyle="1" w:styleId="18">
    <w:name w:val="标题 2 字符"/>
    <w:basedOn w:val="16"/>
    <w:link w:val="3"/>
    <w:semiHidden/>
    <w:qFormat/>
    <w:uiPriority w:val="9"/>
    <w:rPr>
      <w:rFonts w:asciiTheme="majorHAnsi" w:hAnsiTheme="majorHAnsi" w:eastAsiaTheme="majorEastAsia" w:cstheme="majorBidi"/>
      <w:color w:val="2F5597" w:themeColor="accent1" w:themeShade="BF"/>
      <w:sz w:val="40"/>
      <w:szCs w:val="40"/>
    </w:rPr>
  </w:style>
  <w:style w:type="character" w:customStyle="1" w:styleId="19">
    <w:name w:val="标题 3 字符"/>
    <w:basedOn w:val="16"/>
    <w:link w:val="4"/>
    <w:semiHidden/>
    <w:qFormat/>
    <w:uiPriority w:val="9"/>
    <w:rPr>
      <w:rFonts w:asciiTheme="majorHAnsi" w:hAnsiTheme="majorHAnsi" w:eastAsiaTheme="majorEastAsia" w:cstheme="majorBidi"/>
      <w:color w:val="2F5597" w:themeColor="accent1" w:themeShade="BF"/>
      <w:sz w:val="32"/>
      <w:szCs w:val="32"/>
    </w:rPr>
  </w:style>
  <w:style w:type="character" w:customStyle="1" w:styleId="20">
    <w:name w:val="标题 4 字符"/>
    <w:basedOn w:val="16"/>
    <w:link w:val="5"/>
    <w:semiHidden/>
    <w:qFormat/>
    <w:uiPriority w:val="9"/>
    <w:rPr>
      <w:rFonts w:cstheme="majorBidi"/>
      <w:color w:val="2F5597" w:themeColor="accent1" w:themeShade="BF"/>
      <w:sz w:val="28"/>
      <w:szCs w:val="28"/>
    </w:rPr>
  </w:style>
  <w:style w:type="character" w:customStyle="1" w:styleId="21">
    <w:name w:val="标题 5 字符"/>
    <w:basedOn w:val="16"/>
    <w:link w:val="6"/>
    <w:semiHidden/>
    <w:qFormat/>
    <w:uiPriority w:val="9"/>
    <w:rPr>
      <w:rFonts w:cstheme="majorBidi"/>
      <w:color w:val="2F5597" w:themeColor="accent1" w:themeShade="BF"/>
      <w:sz w:val="24"/>
      <w:szCs w:val="24"/>
    </w:rPr>
  </w:style>
  <w:style w:type="character" w:customStyle="1" w:styleId="22">
    <w:name w:val="标题 6 字符"/>
    <w:basedOn w:val="16"/>
    <w:link w:val="7"/>
    <w:semiHidden/>
    <w:qFormat/>
    <w:uiPriority w:val="9"/>
    <w:rPr>
      <w:rFonts w:cstheme="majorBidi"/>
      <w:b/>
      <w:bCs/>
      <w:color w:val="2F5597" w:themeColor="accent1" w:themeShade="BF"/>
    </w:rPr>
  </w:style>
  <w:style w:type="character" w:customStyle="1" w:styleId="23">
    <w:name w:val="标题 7 字符"/>
    <w:basedOn w:val="16"/>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4">
    <w:name w:val="标题 8 字符"/>
    <w:basedOn w:val="16"/>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5">
    <w:name w:val="标题 9 字符"/>
    <w:basedOn w:val="16"/>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6">
    <w:name w:val="标题 字符"/>
    <w:basedOn w:val="16"/>
    <w:link w:val="14"/>
    <w:qFormat/>
    <w:uiPriority w:val="10"/>
    <w:rPr>
      <w:rFonts w:asciiTheme="majorHAnsi" w:hAnsiTheme="majorHAnsi" w:eastAsiaTheme="majorEastAsia" w:cstheme="majorBidi"/>
      <w:spacing w:val="-10"/>
      <w:kern w:val="28"/>
      <w:sz w:val="56"/>
      <w:szCs w:val="56"/>
    </w:rPr>
  </w:style>
  <w:style w:type="character" w:customStyle="1" w:styleId="27">
    <w:name w:val="副标题 字符"/>
    <w:basedOn w:val="16"/>
    <w:link w:val="13"/>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8">
    <w:name w:val="Quote"/>
    <w:basedOn w:val="1"/>
    <w:next w:val="1"/>
    <w:link w:val="29"/>
    <w:qFormat/>
    <w:uiPriority w:val="29"/>
    <w:pPr>
      <w:spacing w:before="160" w:after="160"/>
      <w:jc w:val="center"/>
    </w:pPr>
    <w:rPr>
      <w:i/>
      <w:iCs/>
      <w:color w:val="404040" w:themeColor="text1" w:themeTint="BF"/>
      <w14:textFill>
        <w14:solidFill>
          <w14:schemeClr w14:val="tx1">
            <w14:lumMod w14:val="75000"/>
            <w14:lumOff w14:val="25000"/>
          </w14:schemeClr>
        </w14:solidFill>
      </w14:textFill>
    </w:rPr>
  </w:style>
  <w:style w:type="character" w:customStyle="1" w:styleId="29">
    <w:name w:val="引用 字符"/>
    <w:basedOn w:val="16"/>
    <w:link w:val="28"/>
    <w:qFormat/>
    <w:uiPriority w:val="29"/>
    <w:rPr>
      <w:i/>
      <w:iCs/>
      <w:color w:val="404040" w:themeColor="text1" w:themeTint="BF"/>
      <w14:textFill>
        <w14:solidFill>
          <w14:schemeClr w14:val="tx1">
            <w14:lumMod w14:val="75000"/>
            <w14:lumOff w14:val="25000"/>
          </w14:schemeClr>
        </w14:solidFill>
      </w14:textFill>
    </w:rPr>
  </w:style>
  <w:style w:type="paragraph" w:styleId="30">
    <w:name w:val="List Paragraph"/>
    <w:basedOn w:val="1"/>
    <w:qFormat/>
    <w:uiPriority w:val="34"/>
    <w:pPr>
      <w:ind w:left="720"/>
      <w:contextualSpacing/>
    </w:pPr>
  </w:style>
  <w:style w:type="character" w:customStyle="1" w:styleId="31">
    <w:name w:val="Intense Emphasis"/>
    <w:basedOn w:val="16"/>
    <w:qFormat/>
    <w:uiPriority w:val="21"/>
    <w:rPr>
      <w:i/>
      <w:iCs/>
      <w:color w:val="2F5597" w:themeColor="accent1" w:themeShade="BF"/>
    </w:rPr>
  </w:style>
  <w:style w:type="paragraph" w:styleId="32">
    <w:name w:val="Intense Quote"/>
    <w:basedOn w:val="1"/>
    <w:next w:val="1"/>
    <w:link w:val="33"/>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33">
    <w:name w:val="明显引用 字符"/>
    <w:basedOn w:val="16"/>
    <w:link w:val="32"/>
    <w:qFormat/>
    <w:uiPriority w:val="30"/>
    <w:rPr>
      <w:i/>
      <w:iCs/>
      <w:color w:val="2F5597" w:themeColor="accent1" w:themeShade="BF"/>
    </w:rPr>
  </w:style>
  <w:style w:type="character" w:customStyle="1" w:styleId="34">
    <w:name w:val="Intense Reference"/>
    <w:basedOn w:val="16"/>
    <w:qFormat/>
    <w:uiPriority w:val="32"/>
    <w:rPr>
      <w:b/>
      <w:bCs/>
      <w:smallCaps/>
      <w:color w:val="2F5597" w:themeColor="accent1" w:themeShade="BF"/>
      <w:spacing w:val="5"/>
    </w:rPr>
  </w:style>
  <w:style w:type="paragraph" w:customStyle="1" w:styleId="35">
    <w:name w:val="前言、附表"/>
    <w:basedOn w:val="1"/>
    <w:link w:val="36"/>
    <w:qFormat/>
    <w:uiPriority w:val="0"/>
    <w:pPr>
      <w:spacing w:before="200" w:beforeLines="200" w:after="150" w:afterLines="150" w:line="360" w:lineRule="auto"/>
      <w:jc w:val="center"/>
      <w:outlineLvl w:val="0"/>
    </w:pPr>
    <w:rPr>
      <w:rFonts w:ascii="方正小标宋_GBK" w:hAnsi="Times New Roman" w:eastAsia="方正小标宋_GBK"/>
      <w:sz w:val="36"/>
      <w:szCs w:val="40"/>
    </w:rPr>
  </w:style>
  <w:style w:type="character" w:customStyle="1" w:styleId="36">
    <w:name w:val="前言、附表 字符"/>
    <w:basedOn w:val="16"/>
    <w:link w:val="35"/>
    <w:qFormat/>
    <w:uiPriority w:val="0"/>
    <w:rPr>
      <w:rFonts w:ascii="方正小标宋_GBK" w:hAnsi="Times New Roman" w:eastAsia="方正小标宋_GBK"/>
      <w:sz w:val="36"/>
      <w:szCs w:val="40"/>
    </w:rPr>
  </w:style>
  <w:style w:type="character" w:customStyle="1" w:styleId="37">
    <w:name w:val="页眉 字符"/>
    <w:basedOn w:val="16"/>
    <w:link w:val="12"/>
    <w:qFormat/>
    <w:uiPriority w:val="99"/>
    <w:rPr>
      <w:sz w:val="18"/>
      <w:szCs w:val="18"/>
    </w:rPr>
  </w:style>
  <w:style w:type="character" w:customStyle="1" w:styleId="38">
    <w:name w:val="页脚 字符"/>
    <w:basedOn w:val="16"/>
    <w:link w:val="11"/>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8D701E-CA33-422A-B0CC-249B780B2ADD}">
  <ds:schemaRefs/>
</ds:datastoreItem>
</file>

<file path=docProps/app.xml><?xml version="1.0" encoding="utf-8"?>
<Properties xmlns="http://schemas.openxmlformats.org/officeDocument/2006/extended-properties" xmlns:vt="http://schemas.openxmlformats.org/officeDocument/2006/docPropsVTypes">
  <Template>Normal.dotm</Template>
  <Pages>11</Pages>
  <Words>2053</Words>
  <Characters>2172</Characters>
  <Lines>53</Lines>
  <Paragraphs>21</Paragraphs>
  <TotalTime>4</TotalTime>
  <ScaleCrop>false</ScaleCrop>
  <LinksUpToDate>false</LinksUpToDate>
  <CharactersWithSpaces>2180</CharactersWithSpaces>
  <Application>WPS Office_12.1.0.25222_F1E327BC-269C-435d-A152-05C5408002CA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2026-01-22T08:25:00Z</dcterms:created>
  <dc:creator>Yuxin Xing</dc:creator>
  <cp:lastModifiedBy>心晴</cp:lastModifiedBy>
  <dcterms:modified xsi:type="dcterms:W3CDTF">2026-02-24T03:36:56Z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2052-12.1.0.25222</vt:lpwstr>
  </property>
  <property fmtid="{D5CDD505-2E9C-101B-9397-08002B2CF9AE}" pid="3" name="ICV">
    <vt:lpwstr>64F2C35F741D46CE8958954586239B23_13</vt:lpwstr>
  </property>
  <property fmtid="{D5CDD505-2E9C-101B-9397-08002B2CF9AE}" pid="4" name="KSOTemplateDocerSaveRecord">
    <vt:lpwstr>eyJoZGlkIjoiZjEwYzg1N2FiYTFhYThjOGNhZDY0YzFiNzljMTY0NjYiLCJ1c2VySWQiOiI3MDAwNzc2MzMifQ==</vt:lpwstr>
  </property>
</Properties>
</file>