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D3D867">
      <w:pPr>
        <w:rPr>
          <w:rFonts w:hint="default"/>
          <w:b/>
          <w:bCs/>
          <w:lang w:val="en-US" w:eastAsia="zh-CN"/>
        </w:rPr>
      </w:pPr>
      <w:r>
        <w:rPr>
          <w:rFonts w:hint="default"/>
          <w:b/>
          <w:bCs/>
          <w:lang w:val="en-US" w:eastAsia="zh-CN"/>
        </w:rPr>
        <w:t>《井陉县吴家窑乡国土空间总体规划（2021-2035年）》批后公告</w:t>
      </w:r>
    </w:p>
    <w:p w14:paraId="40EE2E84">
      <w:pPr>
        <w:rPr>
          <w:rFonts w:hint="default"/>
          <w:lang w:val="en-US" w:eastAsia="zh-CN"/>
        </w:rPr>
      </w:pPr>
      <w:r>
        <w:rPr>
          <w:rFonts w:hint="default"/>
          <w:lang w:val="en-US" w:eastAsia="zh-CN"/>
        </w:rPr>
        <w:t>《井陉县吴家窑乡国土空间总体规划（2021-2035年）》已于2025年6月30日获</w:t>
      </w:r>
      <w:r>
        <w:rPr>
          <w:rFonts w:hint="eastAsia"/>
          <w:lang w:val="en-US" w:eastAsia="zh-CN"/>
        </w:rPr>
        <w:t>井陉</w:t>
      </w:r>
      <w:r>
        <w:rPr>
          <w:rFonts w:hint="default"/>
          <w:lang w:val="en-US" w:eastAsia="zh-CN"/>
        </w:rPr>
        <w:t>县人民政府批准（</w:t>
      </w:r>
      <w:r>
        <w:rPr>
          <w:rFonts w:hint="eastAsia"/>
          <w:lang w:val="en-US" w:eastAsia="zh-CN"/>
        </w:rPr>
        <w:t>井</w:t>
      </w:r>
      <w:r>
        <w:rPr>
          <w:rFonts w:hint="default"/>
          <w:lang w:val="en-US" w:eastAsia="zh-CN"/>
        </w:rPr>
        <w:t>政[2025]</w:t>
      </w:r>
      <w:r>
        <w:rPr>
          <w:rFonts w:hint="eastAsia"/>
          <w:lang w:val="en-US" w:eastAsia="zh-CN"/>
        </w:rPr>
        <w:t>65</w:t>
      </w:r>
      <w:r>
        <w:rPr>
          <w:rFonts w:hint="default"/>
          <w:lang w:val="en-US" w:eastAsia="zh-CN"/>
        </w:rPr>
        <w:t>号），现予以公告。为贯彻落实《中共中央国务院关于建立国土空间规划体系并监督实施的若干意见》《全国国土空间规划纲要（2021-2035年）》《京津冀协同发展规划纲要》《河北省国土空间规划（2021-2035年）》《石家庄市国土空间总体规划（2021-2035年）》《</w:t>
      </w:r>
      <w:r>
        <w:rPr>
          <w:rFonts w:hint="eastAsia"/>
          <w:lang w:val="en-US" w:eastAsia="zh-CN"/>
        </w:rPr>
        <w:t>井陉</w:t>
      </w:r>
      <w:r>
        <w:rPr>
          <w:rFonts w:hint="default"/>
          <w:lang w:val="en-US" w:eastAsia="zh-CN"/>
        </w:rPr>
        <w:t>县国土空间总体规划（2021-2035年）》各项要求，推动形成人与自然和谐共生的国土空间开发保护新格局，提升空间治理现代化水平，编制本规划。</w:t>
      </w:r>
    </w:p>
    <w:p w14:paraId="6A5E3DF4">
      <w:pPr>
        <w:rPr>
          <w:rFonts w:hint="default"/>
          <w:lang w:val="en-US" w:eastAsia="zh-CN"/>
        </w:rPr>
      </w:pPr>
      <w:r>
        <w:rPr>
          <w:rFonts w:hint="default"/>
          <w:lang w:val="en-US" w:eastAsia="zh-CN"/>
        </w:rPr>
        <w:t>现将规划主要内容公布如下：</w:t>
      </w:r>
    </w:p>
    <w:p w14:paraId="1BC4C45C">
      <w:pPr>
        <w:rPr>
          <w:rFonts w:hint="eastAsia" w:ascii="黑体" w:hAnsi="黑体" w:eastAsia="黑体" w:cs="黑体"/>
          <w:lang w:val="en-US" w:eastAsia="zh-CN"/>
        </w:rPr>
      </w:pPr>
      <w:r>
        <w:rPr>
          <w:rFonts w:hint="eastAsia" w:ascii="黑体" w:hAnsi="黑体" w:eastAsia="黑体" w:cs="黑体"/>
          <w:lang w:val="en-US" w:eastAsia="zh-CN"/>
        </w:rPr>
        <w:t>一、规划范围</w:t>
      </w:r>
    </w:p>
    <w:p w14:paraId="4B8336C6">
      <w:pPr>
        <w:rPr>
          <w:rFonts w:hint="default"/>
          <w:lang w:val="en-US" w:eastAsia="zh-CN"/>
        </w:rPr>
      </w:pPr>
      <w:r>
        <w:rPr>
          <w:rFonts w:hint="default"/>
          <w:lang w:val="en-US" w:eastAsia="zh-CN"/>
        </w:rPr>
        <w:t>本规划分为</w:t>
      </w:r>
      <w:r>
        <w:rPr>
          <w:rFonts w:hint="eastAsia"/>
          <w:lang w:val="en-US" w:eastAsia="zh-CN"/>
        </w:rPr>
        <w:t>乡</w:t>
      </w:r>
      <w:r>
        <w:rPr>
          <w:rFonts w:hint="default"/>
          <w:lang w:val="en-US" w:eastAsia="zh-CN"/>
        </w:rPr>
        <w:t>域和</w:t>
      </w:r>
      <w:r>
        <w:rPr>
          <w:rFonts w:hint="eastAsia"/>
          <w:lang w:val="en-US" w:eastAsia="zh-CN"/>
        </w:rPr>
        <w:t>乡</w:t>
      </w:r>
      <w:r>
        <w:rPr>
          <w:rFonts w:hint="default"/>
          <w:lang w:val="en-US" w:eastAsia="zh-CN"/>
        </w:rPr>
        <w:t>政府驻地两个层次。</w:t>
      </w:r>
      <w:r>
        <w:rPr>
          <w:rFonts w:hint="eastAsia"/>
          <w:lang w:val="en-US" w:eastAsia="zh-CN"/>
        </w:rPr>
        <w:t>乡</w:t>
      </w:r>
      <w:r>
        <w:rPr>
          <w:rFonts w:hint="default"/>
          <w:lang w:val="en-US" w:eastAsia="zh-CN"/>
        </w:rPr>
        <w:t>域</w:t>
      </w:r>
      <w:r>
        <w:rPr>
          <w:rFonts w:hint="eastAsia"/>
          <w:lang w:val="en-US" w:eastAsia="zh-CN"/>
        </w:rPr>
        <w:t>为</w:t>
      </w:r>
      <w:r>
        <w:rPr>
          <w:rFonts w:hint="default"/>
          <w:lang w:val="en-US" w:eastAsia="zh-CN"/>
        </w:rPr>
        <w:t>吴家窑乡行政辖区范围，包含下辖11个行政村，面积为47.60平方千米</w:t>
      </w:r>
      <w:r>
        <w:rPr>
          <w:rFonts w:hint="eastAsia"/>
          <w:lang w:val="en-US" w:eastAsia="zh-CN"/>
        </w:rPr>
        <w:t>；乡</w:t>
      </w:r>
      <w:r>
        <w:rPr>
          <w:rFonts w:hint="default"/>
          <w:lang w:val="en-US" w:eastAsia="zh-CN"/>
        </w:rPr>
        <w:t>政府驻地</w:t>
      </w:r>
      <w:r>
        <w:rPr>
          <w:rFonts w:hint="eastAsia"/>
          <w:lang w:val="en-US" w:eastAsia="zh-CN"/>
        </w:rPr>
        <w:t>为吴家窑乡村庄居民点，面积为</w:t>
      </w:r>
      <w:r>
        <w:rPr>
          <w:rFonts w:hint="default"/>
          <w:lang w:val="en-US" w:eastAsia="zh-CN"/>
        </w:rPr>
        <w:t>34.46公顷。</w:t>
      </w:r>
    </w:p>
    <w:p w14:paraId="41A3A50F">
      <w:pPr>
        <w:rPr>
          <w:rFonts w:hint="default" w:ascii="黑体" w:hAnsi="黑体" w:eastAsia="黑体" w:cs="黑体"/>
          <w:lang w:val="en-US" w:eastAsia="zh-CN"/>
        </w:rPr>
      </w:pPr>
      <w:r>
        <w:rPr>
          <w:rFonts w:hint="default" w:ascii="黑体" w:hAnsi="黑体" w:eastAsia="黑体" w:cs="黑体"/>
          <w:lang w:val="en-US" w:eastAsia="zh-CN"/>
        </w:rPr>
        <w:t>二、规划期限</w:t>
      </w:r>
    </w:p>
    <w:p w14:paraId="609E5AF3">
      <w:pPr>
        <w:rPr>
          <w:rFonts w:hint="default"/>
          <w:lang w:val="en-US" w:eastAsia="zh-CN"/>
        </w:rPr>
      </w:pPr>
      <w:r>
        <w:rPr>
          <w:rFonts w:hint="default"/>
          <w:lang w:val="en-US" w:eastAsia="zh-CN"/>
        </w:rPr>
        <w:t>规划基期年为2020年，规划期限为2021-2035年，近期至2025年，远景展望至2050年。</w:t>
      </w:r>
    </w:p>
    <w:p w14:paraId="042ED5BB">
      <w:pPr>
        <w:rPr>
          <w:rFonts w:hint="default" w:ascii="黑体" w:hAnsi="黑体" w:eastAsia="黑体" w:cs="黑体"/>
          <w:lang w:val="en-US" w:eastAsia="zh-CN"/>
        </w:rPr>
      </w:pPr>
      <w:r>
        <w:rPr>
          <w:rFonts w:hint="default" w:ascii="黑体" w:hAnsi="黑体" w:eastAsia="黑体" w:cs="黑体"/>
          <w:lang w:val="en-US" w:eastAsia="zh-CN"/>
        </w:rPr>
        <w:t>三、规划定位</w:t>
      </w:r>
    </w:p>
    <w:p w14:paraId="7D169888">
      <w:pPr>
        <w:rPr>
          <w:rFonts w:hint="default"/>
          <w:lang w:val="en-US" w:eastAsia="zh-CN"/>
        </w:rPr>
      </w:pPr>
      <w:r>
        <w:rPr>
          <w:rFonts w:hint="default"/>
          <w:lang w:val="en-US" w:eastAsia="zh-CN"/>
        </w:rPr>
        <w:t>省会近郊生态宜居、康养休闲、都市农业为主的农文旅型乡镇。</w:t>
      </w:r>
    </w:p>
    <w:p w14:paraId="6AE667C1">
      <w:pPr>
        <w:rPr>
          <w:rFonts w:hint="default" w:ascii="黑体" w:hAnsi="黑体" w:eastAsia="黑体" w:cs="黑体"/>
          <w:lang w:val="en-US" w:eastAsia="zh-CN"/>
        </w:rPr>
      </w:pPr>
      <w:r>
        <w:rPr>
          <w:rFonts w:hint="eastAsia" w:ascii="黑体" w:hAnsi="黑体" w:eastAsia="黑体" w:cs="黑体"/>
          <w:lang w:val="en-US" w:eastAsia="zh-CN"/>
        </w:rPr>
        <w:t>四、</w:t>
      </w:r>
      <w:r>
        <w:rPr>
          <w:rFonts w:hint="default" w:ascii="黑体" w:hAnsi="黑体" w:eastAsia="黑体" w:cs="黑体"/>
          <w:lang w:val="en-US" w:eastAsia="zh-CN"/>
        </w:rPr>
        <w:t>规划目标</w:t>
      </w:r>
    </w:p>
    <w:p w14:paraId="48DDEFC8">
      <w:pPr>
        <w:rPr>
          <w:rFonts w:hint="eastAsia" w:ascii="仿宋_GB2312" w:hAnsi="仿宋_GB2312" w:eastAsia="仿宋_GB2312" w:cs="仿宋_GB2312"/>
          <w:color w:val="000000"/>
          <w:szCs w:val="32"/>
          <w:highlight w:val="none"/>
        </w:rPr>
      </w:pPr>
      <w:r>
        <w:rPr>
          <w:rFonts w:hint="eastAsia" w:ascii="仿宋_GB2312" w:hAnsi="仿宋_GB2312" w:eastAsia="仿宋_GB2312" w:cs="仿宋_GB2312"/>
          <w:color w:val="000000"/>
          <w:szCs w:val="32"/>
          <w:highlight w:val="none"/>
        </w:rPr>
        <w:t>到2025年，生态环境得到有效改善和提升，全乡与石家庄市鹿泉区功能互动进一步加强，支柱产业由第二产业初步向第三产业转换，旅游业得到一定规模发展。乡政府驻地建设取得较大的进展，服务水平得到显著提升，农民收入有稳步提高。</w:t>
      </w:r>
    </w:p>
    <w:p w14:paraId="1E9CB1B0">
      <w:pPr>
        <w:rPr>
          <w:rFonts w:hint="eastAsia" w:ascii="仿宋_GB2312" w:hAnsi="仿宋_GB2312" w:eastAsia="仿宋_GB2312" w:cs="仿宋_GB2312"/>
          <w:color w:val="000000"/>
          <w:szCs w:val="32"/>
          <w:highlight w:val="none"/>
        </w:rPr>
      </w:pPr>
      <w:r>
        <w:rPr>
          <w:rFonts w:hint="eastAsia" w:ascii="仿宋_GB2312" w:hAnsi="仿宋_GB2312" w:eastAsia="仿宋_GB2312" w:cs="仿宋_GB2312"/>
          <w:color w:val="000000"/>
          <w:szCs w:val="32"/>
          <w:highlight w:val="none"/>
        </w:rPr>
        <w:t>到2035年，全乡生态环境得到显著提高，高度融入石家庄都市功能圈，第三产业成为全乡发展的支柱引擎。乡政府驻地功能趋于完善，综合服务水平进一步提高，城乡协调发展。</w:t>
      </w:r>
    </w:p>
    <w:p w14:paraId="65E71FD8">
      <w:pPr>
        <w:rPr>
          <w:rFonts w:hint="default"/>
          <w:lang w:val="en-US" w:eastAsia="zh-CN"/>
        </w:rPr>
      </w:pPr>
      <w:r>
        <w:rPr>
          <w:rFonts w:hint="eastAsia" w:ascii="仿宋_GB2312" w:hAnsi="仿宋_GB2312" w:eastAsia="仿宋_GB2312" w:cs="仿宋_GB2312"/>
          <w:color w:val="000000"/>
          <w:szCs w:val="32"/>
          <w:highlight w:val="none"/>
        </w:rPr>
        <w:t>到2050年，全面振兴，农业强、农村美、农民富全面实现，把吴家窑乡国土治理成为山青水绿天蓝、宁静优美、产业兴旺、人民安居乐业的向往之地。</w:t>
      </w:r>
    </w:p>
    <w:p w14:paraId="3585A42D">
      <w:pPr>
        <w:rPr>
          <w:rFonts w:hint="default" w:ascii="黑体" w:hAnsi="黑体" w:eastAsia="黑体" w:cs="黑体"/>
          <w:lang w:val="en-US" w:eastAsia="zh-CN"/>
        </w:rPr>
      </w:pPr>
      <w:r>
        <w:rPr>
          <w:rFonts w:hint="eastAsia" w:ascii="黑体" w:hAnsi="黑体" w:eastAsia="黑体" w:cs="黑体"/>
          <w:lang w:val="en-US" w:eastAsia="zh-CN"/>
        </w:rPr>
        <w:t>五、</w:t>
      </w:r>
      <w:r>
        <w:rPr>
          <w:rFonts w:hint="default" w:ascii="黑体" w:hAnsi="黑体" w:eastAsia="黑体" w:cs="黑体"/>
          <w:lang w:val="en-US" w:eastAsia="zh-CN"/>
        </w:rPr>
        <w:t>落实“三区三线”</w:t>
      </w:r>
    </w:p>
    <w:p w14:paraId="502E2C7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筑牢国土空间底线，</w:t>
      </w:r>
      <w:r>
        <w:rPr>
          <w:rFonts w:hint="eastAsia" w:cs="仿宋_GB2312"/>
          <w:color w:val="000000"/>
          <w:szCs w:val="32"/>
          <w:highlight w:val="none"/>
          <w:lang w:val="en-US" w:eastAsia="zh-CN"/>
        </w:rPr>
        <w:t>全乡</w:t>
      </w:r>
      <w:r>
        <w:rPr>
          <w:rFonts w:hint="default" w:ascii="仿宋_GB2312" w:hAnsi="仿宋_GB2312" w:eastAsia="仿宋_GB2312" w:cs="仿宋_GB2312"/>
          <w:color w:val="000000"/>
          <w:szCs w:val="32"/>
          <w:highlight w:val="none"/>
          <w:lang w:val="en-US" w:eastAsia="zh-CN"/>
        </w:rPr>
        <w:t>耕地保有量不低于</w:t>
      </w:r>
      <w:r>
        <w:rPr>
          <w:rFonts w:hint="eastAsia" w:cs="仿宋_GB2312"/>
          <w:color w:val="000000"/>
          <w:szCs w:val="32"/>
          <w:highlight w:val="none"/>
          <w:lang w:val="en-US" w:eastAsia="zh-CN"/>
        </w:rPr>
        <w:t>982.46公顷（1.4737万亩）</w:t>
      </w:r>
      <w:r>
        <w:rPr>
          <w:rFonts w:hint="default" w:ascii="仿宋_GB2312" w:hAnsi="仿宋_GB2312" w:eastAsia="仿宋_GB2312" w:cs="仿宋_GB2312"/>
          <w:color w:val="000000"/>
          <w:szCs w:val="32"/>
          <w:highlight w:val="none"/>
          <w:lang w:val="en-US" w:eastAsia="zh-CN"/>
        </w:rPr>
        <w:t>，</w:t>
      </w:r>
      <w:r>
        <w:rPr>
          <w:rFonts w:hint="eastAsia" w:cs="仿宋_GB2312"/>
          <w:color w:val="000000"/>
          <w:szCs w:val="32"/>
          <w:highlight w:val="none"/>
          <w:lang w:val="en-US" w:eastAsia="zh-CN"/>
        </w:rPr>
        <w:t>其中</w:t>
      </w:r>
      <w:r>
        <w:rPr>
          <w:rFonts w:hint="default" w:ascii="仿宋_GB2312" w:hAnsi="仿宋_GB2312" w:eastAsia="仿宋_GB2312" w:cs="仿宋_GB2312"/>
          <w:color w:val="000000"/>
          <w:szCs w:val="32"/>
          <w:highlight w:val="none"/>
          <w:lang w:val="en-US" w:eastAsia="zh-CN"/>
        </w:rPr>
        <w:t>永久基本农田面积不低于</w:t>
      </w:r>
      <w:r>
        <w:rPr>
          <w:rFonts w:hint="eastAsia" w:cs="仿宋_GB2312"/>
          <w:color w:val="000000"/>
          <w:szCs w:val="32"/>
          <w:highlight w:val="none"/>
          <w:lang w:val="en-US" w:eastAsia="zh-CN"/>
        </w:rPr>
        <w:t>932.07公顷（1.3981</w:t>
      </w:r>
      <w:r>
        <w:rPr>
          <w:rFonts w:hint="default" w:ascii="仿宋_GB2312" w:hAnsi="仿宋_GB2312" w:eastAsia="仿宋_GB2312" w:cs="仿宋_GB2312"/>
          <w:color w:val="000000"/>
          <w:szCs w:val="32"/>
          <w:highlight w:val="none"/>
          <w:lang w:val="en-US" w:eastAsia="zh-CN"/>
        </w:rPr>
        <w:t>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；生态保护红线面积</w:t>
      </w:r>
      <w:r>
        <w:rPr>
          <w:rFonts w:hint="eastAsia" w:cs="仿宋_GB2312"/>
          <w:color w:val="000000"/>
          <w:szCs w:val="32"/>
          <w:highlight w:val="none"/>
          <w:lang w:val="en-US" w:eastAsia="zh-CN"/>
        </w:rPr>
        <w:t>919.85</w:t>
      </w:r>
      <w:r>
        <w:rPr>
          <w:rFonts w:hint="default" w:ascii="仿宋_GB2312" w:hAnsi="仿宋_GB2312" w:eastAsia="仿宋_GB2312" w:cs="仿宋_GB2312"/>
          <w:color w:val="000000"/>
          <w:szCs w:val="32"/>
          <w:highlight w:val="none"/>
          <w:lang w:val="en-US" w:eastAsia="zh-CN"/>
        </w:rPr>
        <w:t>公顷</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城镇开发边界规模不突破</w:t>
      </w:r>
      <w:r>
        <w:rPr>
          <w:rFonts w:hint="eastAsia" w:cs="仿宋_GB2312"/>
          <w:color w:val="000000"/>
          <w:szCs w:val="32"/>
          <w:highlight w:val="none"/>
          <w:lang w:val="en-US" w:eastAsia="zh-CN"/>
        </w:rPr>
        <w:t>126.20公顷。</w:t>
      </w:r>
    </w:p>
    <w:p w14:paraId="625A1619">
      <w:pPr>
        <w:rPr>
          <w:rFonts w:hint="default" w:ascii="黑体" w:hAnsi="黑体" w:eastAsia="黑体" w:cs="黑体"/>
          <w:lang w:val="en-US" w:eastAsia="zh-CN"/>
        </w:rPr>
      </w:pPr>
      <w:r>
        <w:rPr>
          <w:rFonts w:hint="default" w:ascii="黑体" w:hAnsi="黑体" w:eastAsia="黑体" w:cs="黑体"/>
          <w:lang w:val="en-US" w:eastAsia="zh-CN"/>
        </w:rPr>
        <w:t>六、落实主体功能区布局</w:t>
      </w:r>
    </w:p>
    <w:p w14:paraId="45FB7AF3">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落实井陉县国土空间总体规划对吴家窑乡的主体功能区定位，吴家窑乡为重点生态功能区。</w:t>
      </w:r>
      <w:r>
        <w:rPr>
          <w:rFonts w:hint="eastAsia" w:cs="仿宋_GB2312"/>
          <w:color w:val="000000"/>
          <w:szCs w:val="32"/>
          <w:highlight w:val="none"/>
          <w:lang w:val="en-US" w:eastAsia="zh-CN"/>
        </w:rPr>
        <w:t>该区域</w:t>
      </w:r>
      <w:r>
        <w:rPr>
          <w:rFonts w:hint="default" w:ascii="仿宋_GB2312" w:hAnsi="仿宋_GB2312" w:eastAsia="仿宋_GB2312" w:cs="仿宋_GB2312"/>
          <w:color w:val="000000"/>
          <w:szCs w:val="32"/>
          <w:highlight w:val="none"/>
          <w:lang w:val="en-US" w:eastAsia="zh-CN"/>
        </w:rPr>
        <w:t>应重点加强生态环境的保护，保护自然植被，提升水源涵养与水土保持功能。加大矿山整治和生态修复力度，推进造林绿化，湿地和草地保护修复等生态功能，提升“林草”质量。适度发展文化旅游、休闲度假、康复保健等生态休闲产业。</w:t>
      </w:r>
    </w:p>
    <w:p w14:paraId="7CF1015F">
      <w:pPr>
        <w:rPr>
          <w:rFonts w:hint="default" w:ascii="黑体" w:hAnsi="黑体" w:eastAsia="黑体" w:cs="黑体"/>
          <w:lang w:val="en-US" w:eastAsia="zh-CN"/>
        </w:rPr>
      </w:pPr>
      <w:r>
        <w:rPr>
          <w:rFonts w:hint="default" w:ascii="黑体" w:hAnsi="黑体" w:eastAsia="黑体" w:cs="黑体"/>
          <w:lang w:val="en-US" w:eastAsia="zh-CN"/>
        </w:rPr>
        <w:t>七、国土空间开发保护总体格局</w:t>
      </w:r>
    </w:p>
    <w:p w14:paraId="0AFBE7C1">
      <w:pPr>
        <w:rPr>
          <w:rFonts w:hint="default" w:ascii="仿宋_GB2312" w:hAnsi="仿宋_GB2312" w:eastAsia="仿宋_GB2312" w:cs="仿宋_GB2312"/>
          <w:color w:val="000000"/>
          <w:szCs w:val="32"/>
          <w:highlight w:val="none"/>
          <w:lang w:val="en-US" w:eastAsia="zh-CN"/>
        </w:rPr>
      </w:pPr>
      <w:r>
        <w:rPr>
          <w:rFonts w:hint="eastAsia" w:cs="仿宋_GB2312"/>
          <w:color w:val="000000"/>
          <w:szCs w:val="32"/>
          <w:highlight w:val="none"/>
          <w:lang w:val="en-US" w:eastAsia="zh-CN"/>
        </w:rPr>
        <w:t>规划</w:t>
      </w:r>
      <w:r>
        <w:rPr>
          <w:rFonts w:hint="default" w:ascii="仿宋_GB2312" w:hAnsi="仿宋_GB2312" w:eastAsia="仿宋_GB2312" w:cs="仿宋_GB2312"/>
          <w:color w:val="000000"/>
          <w:szCs w:val="32"/>
          <w:highlight w:val="none"/>
          <w:lang w:val="en-US" w:eastAsia="zh-CN"/>
        </w:rPr>
        <w:t>构建“一心、两轴、三团、多点”的国土空间保护开发总体格局。</w:t>
      </w:r>
    </w:p>
    <w:p w14:paraId="613C016E">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一心：吴家窑乡政府驻地，为全乡综合服务中心；两轴：省道衡井公路（S392）、南铜线（吴苗线-南吴线）两条乡村发展轴；三团：结合中心村、人口规模、经济实力等因素形成的彪村、苗峪、金柱三个主要居住组团；多点：保留村庄、居住社区形成的多个聚居点。</w:t>
      </w:r>
    </w:p>
    <w:p w14:paraId="2C7147EC">
      <w:pPr>
        <w:rPr>
          <w:rFonts w:hint="default" w:ascii="黑体" w:hAnsi="黑体" w:eastAsia="黑体" w:cs="黑体"/>
          <w:lang w:val="en-US" w:eastAsia="zh-CN"/>
        </w:rPr>
      </w:pPr>
      <w:r>
        <w:rPr>
          <w:rFonts w:hint="default" w:ascii="黑体" w:hAnsi="黑体" w:eastAsia="黑体" w:cs="黑体"/>
          <w:lang w:val="en-US" w:eastAsia="zh-CN"/>
        </w:rPr>
        <w:t>八、国土空间规划分区和功能结构</w:t>
      </w:r>
    </w:p>
    <w:p w14:paraId="1429139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落实和深化主体功能区战略，充分衔接三条控制线，将乡域划分生态保护区、生态控制区、农田保护区、城镇发展区、乡村发展区五类一级规划分区，</w:t>
      </w:r>
      <w:r>
        <w:rPr>
          <w:rFonts w:hint="eastAsia" w:cs="仿宋_GB2312"/>
          <w:color w:val="000000"/>
          <w:szCs w:val="32"/>
          <w:highlight w:val="none"/>
          <w:lang w:val="en-US" w:eastAsia="zh-CN"/>
        </w:rPr>
        <w:t>根据</w:t>
      </w:r>
      <w:r>
        <w:rPr>
          <w:rFonts w:hint="default" w:ascii="仿宋_GB2312" w:hAnsi="仿宋_GB2312" w:eastAsia="仿宋_GB2312" w:cs="仿宋_GB2312"/>
          <w:color w:val="000000"/>
          <w:szCs w:val="32"/>
          <w:highlight w:val="none"/>
          <w:lang w:val="en-US" w:eastAsia="zh-CN"/>
        </w:rPr>
        <w:t>国土空间功能导向和主要用途方向，制定用途准入原则和管控要求。</w:t>
      </w:r>
    </w:p>
    <w:p w14:paraId="6CCD3E36">
      <w:pPr>
        <w:rPr>
          <w:rFonts w:hint="default" w:ascii="黑体" w:hAnsi="黑体" w:eastAsia="黑体" w:cs="黑体"/>
          <w:lang w:val="en-US" w:eastAsia="zh-CN"/>
        </w:rPr>
      </w:pPr>
      <w:r>
        <w:rPr>
          <w:rFonts w:hint="default" w:ascii="黑体" w:hAnsi="黑体" w:eastAsia="黑体" w:cs="黑体"/>
          <w:lang w:val="en-US" w:eastAsia="zh-CN"/>
        </w:rPr>
        <w:t>九、优化城乡布局</w:t>
      </w:r>
    </w:p>
    <w:p w14:paraId="1C533804">
      <w:pPr>
        <w:rPr>
          <w:rFonts w:hint="default" w:ascii="仿宋_GB2312" w:hAnsi="仿宋_GB2312" w:eastAsia="仿宋_GB2312" w:cs="仿宋_GB2312"/>
          <w:color w:val="000000"/>
          <w:szCs w:val="32"/>
          <w:highlight w:val="none"/>
          <w:lang w:val="en-US" w:eastAsia="zh-CN"/>
        </w:rPr>
      </w:pPr>
      <w:r>
        <w:rPr>
          <w:rFonts w:hint="eastAsia" w:cs="仿宋_GB2312"/>
          <w:color w:val="000000"/>
          <w:szCs w:val="32"/>
          <w:highlight w:val="none"/>
          <w:lang w:val="en-US" w:eastAsia="zh-CN"/>
        </w:rPr>
        <w:t>规划</w:t>
      </w:r>
      <w:r>
        <w:rPr>
          <w:rFonts w:hint="default" w:ascii="仿宋_GB2312" w:hAnsi="仿宋_GB2312" w:eastAsia="仿宋_GB2312" w:cs="仿宋_GB2312"/>
          <w:color w:val="000000"/>
          <w:szCs w:val="32"/>
          <w:highlight w:val="none"/>
          <w:lang w:val="en-US" w:eastAsia="zh-CN"/>
        </w:rPr>
        <w:t>构建“1个乡政府驻地+2个中心村+7个基层村”三级居民点体系</w:t>
      </w:r>
      <w:r>
        <w:rPr>
          <w:rFonts w:hint="eastAsia" w:cs="仿宋_GB2312"/>
          <w:color w:val="000000"/>
          <w:szCs w:val="32"/>
          <w:highlight w:val="none"/>
          <w:lang w:val="en-US" w:eastAsia="zh-CN"/>
        </w:rPr>
        <w:t>。</w:t>
      </w:r>
    </w:p>
    <w:p w14:paraId="331FCAF7">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乡政府驻地，</w:t>
      </w:r>
      <w:r>
        <w:rPr>
          <w:rFonts w:hint="eastAsia" w:cs="仿宋_GB2312"/>
          <w:color w:val="000000"/>
          <w:szCs w:val="32"/>
          <w:highlight w:val="none"/>
          <w:lang w:val="en-US" w:eastAsia="zh-CN"/>
        </w:rPr>
        <w:t>是</w:t>
      </w:r>
      <w:r>
        <w:rPr>
          <w:rFonts w:hint="default" w:ascii="仿宋_GB2312" w:hAnsi="仿宋_GB2312" w:eastAsia="仿宋_GB2312" w:cs="仿宋_GB2312"/>
          <w:color w:val="000000"/>
          <w:szCs w:val="32"/>
          <w:highlight w:val="none"/>
          <w:lang w:val="en-US" w:eastAsia="zh-CN"/>
        </w:rPr>
        <w:t>吴家窑乡的政治、经济、文化中心，加强公共设施服务能力，提升人居环境和风貌品质，增强基础设施综合承载能力，提高乡政府驻地作为全乡的核心载体作用。</w:t>
      </w:r>
    </w:p>
    <w:p w14:paraId="2C5557BF">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提升中心村对周边村庄的辐射带动能力。规划村级公共服务设施优先向中心村配置，预留服务设施用地。重点补齐教育、医疗、文化、体育等基本服务短板，适当提升设施配置标准，培育村庄特色产业。</w:t>
      </w:r>
    </w:p>
    <w:p w14:paraId="041FB2CB">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完善基层村基本服务水平。基层村作为基层的农业生产组织单元和社区治理单元，应重点完善提升村庄环卫、交通等基础设施和教育、医疗卫生等公共服务设施，加强与</w:t>
      </w:r>
      <w:r>
        <w:rPr>
          <w:rFonts w:hint="eastAsia" w:cs="仿宋_GB2312"/>
          <w:color w:val="000000"/>
          <w:szCs w:val="32"/>
          <w:highlight w:val="none"/>
          <w:lang w:val="en-US" w:eastAsia="zh-CN"/>
        </w:rPr>
        <w:t>乡</w:t>
      </w:r>
      <w:r>
        <w:rPr>
          <w:rFonts w:hint="default" w:ascii="仿宋_GB2312" w:hAnsi="仿宋_GB2312" w:eastAsia="仿宋_GB2312" w:cs="仿宋_GB2312"/>
          <w:color w:val="000000"/>
          <w:szCs w:val="32"/>
          <w:highlight w:val="none"/>
          <w:lang w:val="en-US" w:eastAsia="zh-CN"/>
        </w:rPr>
        <w:t>政府驻地</w:t>
      </w:r>
      <w:r>
        <w:rPr>
          <w:rFonts w:hint="eastAsia" w:cs="仿宋_GB2312"/>
          <w:color w:val="000000"/>
          <w:szCs w:val="32"/>
          <w:highlight w:val="none"/>
          <w:lang w:val="en-US" w:eastAsia="zh-CN"/>
        </w:rPr>
        <w:t>、中心村</w:t>
      </w:r>
      <w:r>
        <w:rPr>
          <w:rFonts w:hint="default" w:ascii="仿宋_GB2312" w:hAnsi="仿宋_GB2312" w:eastAsia="仿宋_GB2312" w:cs="仿宋_GB2312"/>
          <w:color w:val="000000"/>
          <w:szCs w:val="32"/>
          <w:highlight w:val="none"/>
          <w:lang w:val="en-US" w:eastAsia="zh-CN"/>
        </w:rPr>
        <w:t>等的联通，因地制宜推进村庄特色发展。</w:t>
      </w:r>
    </w:p>
    <w:p w14:paraId="261F5557">
      <w:pPr>
        <w:rPr>
          <w:rFonts w:hint="default" w:ascii="黑体" w:hAnsi="黑体" w:eastAsia="黑体" w:cs="黑体"/>
          <w:lang w:val="en-US" w:eastAsia="zh-CN"/>
        </w:rPr>
      </w:pPr>
      <w:r>
        <w:rPr>
          <w:rFonts w:hint="default" w:ascii="黑体" w:hAnsi="黑体" w:eastAsia="黑体" w:cs="黑体"/>
          <w:lang w:val="en-US" w:eastAsia="zh-CN"/>
        </w:rPr>
        <w:t>十、乡政府驻地</w:t>
      </w:r>
      <w:bookmarkStart w:id="0" w:name="_GoBack"/>
      <w:bookmarkEnd w:id="0"/>
    </w:p>
    <w:p w14:paraId="4B5D5410">
      <w:pPr>
        <w:bidi w:val="0"/>
        <w:rPr>
          <w:rFonts w:hint="default"/>
          <w:lang w:val="en-US" w:eastAsia="zh-CN"/>
        </w:rPr>
      </w:pPr>
      <w:r>
        <w:rPr>
          <w:rFonts w:hint="default"/>
          <w:lang w:val="en-US" w:eastAsia="zh-CN"/>
        </w:rPr>
        <w:t>依托乡域整体规划结构，结合用地形态，规划形成“一心、</w:t>
      </w:r>
      <w:r>
        <w:rPr>
          <w:rFonts w:hint="eastAsia"/>
          <w:lang w:val="en-US" w:eastAsia="zh-CN"/>
        </w:rPr>
        <w:t>三</w:t>
      </w:r>
      <w:r>
        <w:rPr>
          <w:rFonts w:hint="default"/>
          <w:lang w:val="en-US" w:eastAsia="zh-CN"/>
        </w:rPr>
        <w:t>轴、三区”的空间布局结构。其中，</w:t>
      </w:r>
      <w:r>
        <w:rPr>
          <w:rFonts w:hint="eastAsia"/>
          <w:lang w:val="en-US" w:eastAsia="zh-CN"/>
        </w:rPr>
        <w:t>“一</w:t>
      </w:r>
      <w:r>
        <w:rPr>
          <w:rFonts w:hint="default"/>
          <w:lang w:val="en-US" w:eastAsia="zh-CN"/>
        </w:rPr>
        <w:t>心</w:t>
      </w:r>
      <w:r>
        <w:rPr>
          <w:rFonts w:hint="eastAsia"/>
          <w:lang w:val="en-US" w:eastAsia="zh-CN"/>
        </w:rPr>
        <w:t>”</w:t>
      </w:r>
      <w:r>
        <w:rPr>
          <w:rFonts w:hint="default"/>
          <w:lang w:val="en-US" w:eastAsia="zh-CN"/>
        </w:rPr>
        <w:t>为以乡政府驻地为中心的公共服务中心；</w:t>
      </w:r>
      <w:r>
        <w:rPr>
          <w:rFonts w:hint="eastAsia"/>
          <w:lang w:val="en-US" w:eastAsia="zh-CN"/>
        </w:rPr>
        <w:t>“</w:t>
      </w:r>
      <w:r>
        <w:rPr>
          <w:rFonts w:hint="default"/>
          <w:lang w:val="en-US" w:eastAsia="zh-CN"/>
        </w:rPr>
        <w:t>两轴</w:t>
      </w:r>
      <w:r>
        <w:rPr>
          <w:rFonts w:hint="eastAsia"/>
          <w:lang w:val="en-US" w:eastAsia="zh-CN"/>
        </w:rPr>
        <w:t>”</w:t>
      </w:r>
      <w:r>
        <w:rPr>
          <w:rFonts w:hint="default"/>
          <w:lang w:val="en-US" w:eastAsia="zh-CN"/>
        </w:rPr>
        <w:t>为东西向的城镇发展和经济发展轴</w:t>
      </w:r>
      <w:r>
        <w:rPr>
          <w:rFonts w:hint="eastAsia"/>
          <w:lang w:val="en-US" w:eastAsia="zh-CN"/>
        </w:rPr>
        <w:t>，沿河绿化景观轴，南北向、连接金良河与南侧山场的生活服务轴</w:t>
      </w:r>
      <w:r>
        <w:rPr>
          <w:rFonts w:hint="default"/>
          <w:lang w:val="en-US" w:eastAsia="zh-CN"/>
        </w:rPr>
        <w:t>；</w:t>
      </w:r>
      <w:r>
        <w:rPr>
          <w:rFonts w:hint="eastAsia"/>
          <w:lang w:val="en-US" w:eastAsia="zh-CN"/>
        </w:rPr>
        <w:t>三</w:t>
      </w:r>
      <w:r>
        <w:rPr>
          <w:rFonts w:hint="default"/>
          <w:lang w:val="en-US" w:eastAsia="zh-CN"/>
        </w:rPr>
        <w:t>片区分别指东部的行政服务功能区，南部低层住宅功能区，西、北部多层住宅功能区。</w:t>
      </w:r>
    </w:p>
    <w:p w14:paraId="3B166388">
      <w:pPr>
        <w:rPr>
          <w:rFonts w:hint="default" w:ascii="黑体" w:hAnsi="黑体" w:eastAsia="黑体" w:cs="黑体"/>
          <w:lang w:val="en-US" w:eastAsia="zh-CN"/>
        </w:rPr>
      </w:pPr>
      <w:r>
        <w:rPr>
          <w:rFonts w:hint="default" w:ascii="黑体" w:hAnsi="黑体" w:eastAsia="黑体" w:cs="黑体"/>
          <w:lang w:val="en-US" w:eastAsia="zh-CN"/>
        </w:rPr>
        <w:t>十</w:t>
      </w:r>
      <w:r>
        <w:rPr>
          <w:rFonts w:hint="eastAsia" w:ascii="黑体" w:hAnsi="黑体" w:eastAsia="黑体" w:cs="黑体"/>
          <w:lang w:val="en-US" w:eastAsia="zh-CN"/>
        </w:rPr>
        <w:t>一</w:t>
      </w:r>
      <w:r>
        <w:rPr>
          <w:rFonts w:hint="default" w:ascii="黑体" w:hAnsi="黑体" w:eastAsia="黑体" w:cs="黑体"/>
          <w:lang w:val="en-US" w:eastAsia="zh-CN"/>
        </w:rPr>
        <w:t>、历史文化保护和风貌塑造</w:t>
      </w:r>
    </w:p>
    <w:p w14:paraId="78563E1A">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落实县级规划确定全域、全要素的保护体系，加强</w:t>
      </w:r>
      <w:r>
        <w:rPr>
          <w:rFonts w:hint="eastAsia" w:cs="仿宋_GB2312"/>
          <w:color w:val="000000"/>
          <w:szCs w:val="32"/>
          <w:highlight w:val="none"/>
          <w:lang w:val="en-US" w:eastAsia="zh-CN"/>
        </w:rPr>
        <w:t>对</w:t>
      </w:r>
      <w:r>
        <w:rPr>
          <w:rFonts w:hint="default" w:ascii="仿宋_GB2312" w:hAnsi="仿宋_GB2312" w:eastAsia="仿宋_GB2312" w:cs="仿宋_GB2312"/>
          <w:color w:val="000000"/>
          <w:szCs w:val="32"/>
          <w:highlight w:val="none"/>
          <w:lang w:val="en-US" w:eastAsia="zh-CN"/>
        </w:rPr>
        <w:t>文物保护单位、不可移动文物和非物质文化遗产</w:t>
      </w:r>
      <w:r>
        <w:rPr>
          <w:rFonts w:hint="eastAsia" w:cs="仿宋_GB2312"/>
          <w:color w:val="000000"/>
          <w:szCs w:val="32"/>
          <w:highlight w:val="none"/>
          <w:lang w:val="en-US" w:eastAsia="zh-CN"/>
        </w:rPr>
        <w:t>保护</w:t>
      </w:r>
      <w:r>
        <w:rPr>
          <w:rFonts w:hint="default" w:ascii="仿宋_GB2312" w:hAnsi="仿宋_GB2312" w:eastAsia="仿宋_GB2312" w:cs="仿宋_GB2312"/>
          <w:color w:val="000000"/>
          <w:szCs w:val="32"/>
          <w:highlight w:val="none"/>
          <w:lang w:val="en-US" w:eastAsia="zh-CN"/>
        </w:rPr>
        <w:t>。</w:t>
      </w:r>
    </w:p>
    <w:p w14:paraId="6C29C59A">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尊重山地、浅丘地形地貌特征，发挥自然山水景观价值，统筹历史人文要素，彰显古镇古村等传统风貌特色，突出地域特色，划分山地</w:t>
      </w:r>
      <w:r>
        <w:rPr>
          <w:rFonts w:hint="eastAsia" w:cs="仿宋_GB2312"/>
          <w:color w:val="000000"/>
          <w:szCs w:val="32"/>
          <w:highlight w:val="none"/>
          <w:lang w:val="en-US" w:eastAsia="zh-CN"/>
        </w:rPr>
        <w:t>田园</w:t>
      </w:r>
      <w:r>
        <w:rPr>
          <w:rFonts w:hint="default" w:ascii="仿宋_GB2312" w:hAnsi="仿宋_GB2312" w:eastAsia="仿宋_GB2312" w:cs="仿宋_GB2312"/>
          <w:color w:val="000000"/>
          <w:szCs w:val="32"/>
          <w:highlight w:val="none"/>
          <w:lang w:val="en-US" w:eastAsia="zh-CN"/>
        </w:rPr>
        <w:t>风貌区、浅丘传统乡土风貌区、滨河生态风貌区</w:t>
      </w:r>
      <w:r>
        <w:rPr>
          <w:rFonts w:hint="eastAsia" w:cs="仿宋_GB2312"/>
          <w:color w:val="000000"/>
          <w:szCs w:val="32"/>
          <w:highlight w:val="none"/>
          <w:lang w:val="en-US" w:eastAsia="zh-CN"/>
        </w:rPr>
        <w:t>、现代生活服务风貌区</w:t>
      </w:r>
      <w:r>
        <w:rPr>
          <w:rFonts w:hint="default" w:ascii="仿宋_GB2312" w:hAnsi="仿宋_GB2312" w:eastAsia="仿宋_GB2312" w:cs="仿宋_GB2312"/>
          <w:color w:val="000000"/>
          <w:szCs w:val="32"/>
          <w:highlight w:val="none"/>
          <w:lang w:val="en-US" w:eastAsia="zh-CN"/>
        </w:rPr>
        <w:t>等，对不同风貌区的城乡空间形态、自然廊道、建筑风貌等提出引导管控要求。</w:t>
      </w:r>
    </w:p>
    <w:p w14:paraId="357DF3C6">
      <w:pPr>
        <w:rPr>
          <w:rFonts w:hint="default" w:ascii="黑体" w:hAnsi="黑体" w:eastAsia="黑体" w:cs="黑体"/>
          <w:lang w:val="en-US" w:eastAsia="zh-CN"/>
        </w:rPr>
      </w:pPr>
      <w:r>
        <w:rPr>
          <w:rFonts w:hint="default" w:ascii="黑体" w:hAnsi="黑体" w:eastAsia="黑体" w:cs="黑体"/>
          <w:lang w:val="en-US" w:eastAsia="zh-CN"/>
        </w:rPr>
        <w:t>十</w:t>
      </w:r>
      <w:r>
        <w:rPr>
          <w:rFonts w:hint="eastAsia" w:ascii="黑体" w:hAnsi="黑体" w:eastAsia="黑体" w:cs="黑体"/>
          <w:lang w:val="en-US" w:eastAsia="zh-CN"/>
        </w:rPr>
        <w:t>二</w:t>
      </w:r>
      <w:r>
        <w:rPr>
          <w:rFonts w:hint="default" w:ascii="黑体" w:hAnsi="黑体" w:eastAsia="黑体" w:cs="黑体"/>
          <w:lang w:val="en-US" w:eastAsia="zh-CN"/>
        </w:rPr>
        <w:t>、基础设施和综合防灾</w:t>
      </w:r>
    </w:p>
    <w:p w14:paraId="73AF22C6">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落实县级规划确定的提升干线公路工程。改造和提升农村公路。畅通农村公路微循环系统，进一步提升农村基础设施服务水平。结合产业落位、旅游开发等发展诉求，充分保障交通配套设施建设条件。</w:t>
      </w:r>
    </w:p>
    <w:p w14:paraId="08DA520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健全</w:t>
      </w:r>
      <w:r>
        <w:rPr>
          <w:rFonts w:hint="eastAsia" w:cs="仿宋_GB2312"/>
          <w:color w:val="000000"/>
          <w:szCs w:val="32"/>
          <w:highlight w:val="none"/>
          <w:lang w:val="en-US" w:eastAsia="zh-CN"/>
        </w:rPr>
        <w:t>全乡</w:t>
      </w:r>
      <w:r>
        <w:rPr>
          <w:rFonts w:hint="default" w:ascii="仿宋_GB2312" w:hAnsi="仿宋_GB2312" w:eastAsia="仿宋_GB2312" w:cs="仿宋_GB2312"/>
          <w:color w:val="000000"/>
          <w:szCs w:val="32"/>
          <w:highlight w:val="none"/>
          <w:lang w:val="en-US" w:eastAsia="zh-CN"/>
        </w:rPr>
        <w:t>供水体系，优化供水格局，完善供水管网，开源与节流并举，提高水资源利用效率，全面建设节水型社会。优化调整能源结构，加强能源基础设施建设，着力提升法治化、信息化、智能化管理水平，建设清洁低碳、安全高效、开放融合的现代能源体系。</w:t>
      </w:r>
    </w:p>
    <w:p w14:paraId="024A52E8">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坚持以防为主、防抗救相结合，加强各类灾害风险监测预警能力建设，提高城乡基础设施韧性，建设和完善各类防灾减灾基础设施与应急服务设施，建立健全面向多种灾害风险的综合防灾体系。</w:t>
      </w:r>
    </w:p>
    <w:p w14:paraId="23EFBEEE">
      <w:pPr>
        <w:rPr>
          <w:rFonts w:hint="default" w:ascii="黑体" w:hAnsi="黑体" w:eastAsia="黑体" w:cs="黑体"/>
          <w:lang w:val="en-US" w:eastAsia="zh-CN"/>
        </w:rPr>
      </w:pPr>
      <w:r>
        <w:rPr>
          <w:rFonts w:hint="default" w:ascii="黑体" w:hAnsi="黑体" w:eastAsia="黑体" w:cs="黑体"/>
          <w:lang w:val="en-US" w:eastAsia="zh-CN"/>
        </w:rPr>
        <w:t>十</w:t>
      </w:r>
      <w:r>
        <w:rPr>
          <w:rFonts w:hint="eastAsia" w:ascii="黑体" w:hAnsi="黑体" w:eastAsia="黑体" w:cs="黑体"/>
          <w:lang w:val="en-US" w:eastAsia="zh-CN"/>
        </w:rPr>
        <w:t>三</w:t>
      </w:r>
      <w:r>
        <w:rPr>
          <w:rFonts w:hint="default" w:ascii="黑体" w:hAnsi="黑体" w:eastAsia="黑体" w:cs="黑体"/>
          <w:lang w:val="en-US" w:eastAsia="zh-CN"/>
        </w:rPr>
        <w:t>、规划传导和实施保障</w:t>
      </w:r>
    </w:p>
    <w:p w14:paraId="59DA70A2">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对上位规划的落实。落实县级规划确定对</w:t>
      </w:r>
      <w:r>
        <w:rPr>
          <w:rFonts w:hint="eastAsia" w:cs="仿宋_GB2312"/>
          <w:color w:val="000000"/>
          <w:szCs w:val="32"/>
          <w:highlight w:val="none"/>
          <w:lang w:val="en-US" w:eastAsia="zh-CN"/>
        </w:rPr>
        <w:t>吴家窑乡</w:t>
      </w:r>
      <w:r>
        <w:rPr>
          <w:rFonts w:hint="default" w:ascii="仿宋_GB2312" w:hAnsi="仿宋_GB2312" w:eastAsia="仿宋_GB2312" w:cs="仿宋_GB2312"/>
          <w:color w:val="000000"/>
          <w:szCs w:val="32"/>
          <w:highlight w:val="none"/>
          <w:lang w:val="en-US" w:eastAsia="zh-CN"/>
        </w:rPr>
        <w:t>的职能定位、主体功能区、耕地保护目标、永久基本农田保护面积等约束性指标，以及国土空间格局、空间用途管制和重大基础设施等内容。结合</w:t>
      </w:r>
      <w:r>
        <w:rPr>
          <w:rFonts w:hint="eastAsia" w:cs="仿宋_GB2312"/>
          <w:color w:val="000000"/>
          <w:szCs w:val="32"/>
          <w:highlight w:val="none"/>
          <w:lang w:val="en-US" w:eastAsia="zh-CN"/>
        </w:rPr>
        <w:t>井陉</w:t>
      </w:r>
      <w:r>
        <w:rPr>
          <w:rFonts w:hint="default" w:ascii="仿宋_GB2312" w:hAnsi="仿宋_GB2312" w:eastAsia="仿宋_GB2312" w:cs="仿宋_GB2312"/>
          <w:color w:val="000000"/>
          <w:szCs w:val="32"/>
          <w:highlight w:val="none"/>
          <w:lang w:val="en-US" w:eastAsia="zh-CN"/>
        </w:rPr>
        <w:t>县国土空间详细规划编制单元成果，确定</w:t>
      </w:r>
      <w:r>
        <w:rPr>
          <w:rFonts w:hint="eastAsia" w:cs="仿宋_GB2312"/>
          <w:color w:val="000000"/>
          <w:szCs w:val="32"/>
          <w:highlight w:val="none"/>
          <w:lang w:val="en-US" w:eastAsia="zh-CN"/>
        </w:rPr>
        <w:t>片区</w:t>
      </w:r>
      <w:r>
        <w:rPr>
          <w:rFonts w:hint="default" w:ascii="仿宋_GB2312" w:hAnsi="仿宋_GB2312" w:eastAsia="仿宋_GB2312" w:cs="仿宋_GB2312"/>
          <w:color w:val="000000"/>
          <w:szCs w:val="32"/>
          <w:highlight w:val="none"/>
          <w:lang w:val="en-US" w:eastAsia="zh-CN"/>
        </w:rPr>
        <w:t>详细规划单元。</w:t>
      </w:r>
    </w:p>
    <w:p w14:paraId="31089A94">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乡域内除纳入城镇单元</w:t>
      </w:r>
      <w:r>
        <w:rPr>
          <w:rFonts w:hint="eastAsia" w:cs="仿宋_GB2312"/>
          <w:color w:val="000000"/>
          <w:szCs w:val="32"/>
          <w:highlight w:val="none"/>
          <w:lang w:val="en-US" w:eastAsia="zh-CN"/>
        </w:rPr>
        <w:t>或</w:t>
      </w:r>
      <w:r>
        <w:rPr>
          <w:rFonts w:hint="default" w:ascii="仿宋_GB2312" w:hAnsi="仿宋_GB2312" w:eastAsia="仿宋_GB2312" w:cs="仿宋_GB2312"/>
          <w:color w:val="000000"/>
          <w:szCs w:val="32"/>
          <w:highlight w:val="none"/>
          <w:lang w:val="en-US" w:eastAsia="zh-CN"/>
        </w:rPr>
        <w:t>单独编制村庄规划的部分以外，其余纳入“通则式”村庄规划管理。依据河北省“通则式”村庄规划管理规定要求，制定吴家窑乡“通则式”村庄规划管理规定</w:t>
      </w:r>
      <w:r>
        <w:rPr>
          <w:rFonts w:hint="eastAsia" w:cs="仿宋_GB2312"/>
          <w:color w:val="000000"/>
          <w:szCs w:val="32"/>
          <w:highlight w:val="none"/>
          <w:lang w:val="en-US" w:eastAsia="zh-CN"/>
        </w:rPr>
        <w:t>，将耕地和永久基本农田等底线管控的指标规模和空间布局传导至村庄。</w:t>
      </w:r>
    </w:p>
    <w:p w14:paraId="3F0DD435">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统一国土空间用途管制。严格依据国土空间规划，实施国土空间用途管制。建立全域覆盖、协调统一的用途管制规则，依据国土空间规划确定的分区和用途，统筹全域、全类型、多层次自然资源要素，制定不同功能空间、不同用途的转换规则，明确转换方向、条件和管理要求，加强城镇乡村空间的统一用途管制。</w:t>
      </w:r>
    </w:p>
    <w:p w14:paraId="66057C70">
      <w:pPr>
        <w:pStyle w:val="34"/>
        <w:bidi w:val="0"/>
        <w:rPr>
          <w:rFonts w:hint="default"/>
          <w:lang w:val="en-US" w:eastAsia="zh-CN"/>
        </w:rPr>
      </w:pPr>
      <w:r>
        <w:rPr>
          <w:rFonts w:hint="default"/>
          <w:lang w:val="en-US" w:eastAsia="zh-CN"/>
        </w:rPr>
        <w:br w:type="column"/>
      </w:r>
      <w:r>
        <w:rPr>
          <w:rFonts w:hint="default"/>
          <w:lang w:val="en-US" w:eastAsia="zh-CN"/>
        </w:rPr>
        <w:drawing>
          <wp:inline distT="0" distB="0" distL="114300" distR="114300">
            <wp:extent cx="5268595" cy="3721100"/>
            <wp:effectExtent l="0" t="0" r="8255" b="12700"/>
            <wp:docPr id="1" name="图片 1" descr="F:/20251126吴家窑封矢量数据/130121200吴家窑乡03国土空间控制线规划图.jpg130121200吴家窑乡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20251126吴家窑封矢量数据/130121200吴家窑乡03国土空间控制线规划图.jpg130121200吴家窑乡03国土空间控制线规划图"/>
                    <pic:cNvPicPr>
                      <a:picLocks noChangeAspect="1"/>
                    </pic:cNvPicPr>
                  </pic:nvPicPr>
                  <pic:blipFill>
                    <a:blip r:embed="rId6"/>
                    <a:srcRect t="42" b="42"/>
                    <a:stretch>
                      <a:fillRect/>
                    </a:stretch>
                  </pic:blipFill>
                  <pic:spPr>
                    <a:xfrm>
                      <a:off x="0" y="0"/>
                      <a:ext cx="5268595" cy="3721100"/>
                    </a:xfrm>
                    <a:prstGeom prst="rect">
                      <a:avLst/>
                    </a:prstGeom>
                  </pic:spPr>
                </pic:pic>
              </a:graphicData>
            </a:graphic>
          </wp:inline>
        </w:drawing>
      </w:r>
    </w:p>
    <w:p w14:paraId="61577467">
      <w:pPr>
        <w:pStyle w:val="34"/>
        <w:bidi w:val="0"/>
        <w:rPr>
          <w:rFonts w:hint="default"/>
          <w:lang w:val="en-US" w:eastAsia="zh-CN"/>
        </w:rPr>
      </w:pPr>
      <w:r>
        <w:rPr>
          <w:rFonts w:hint="default"/>
          <w:lang w:val="en-US" w:eastAsia="zh-CN"/>
        </w:rPr>
        <w:drawing>
          <wp:inline distT="0" distB="0" distL="114300" distR="114300">
            <wp:extent cx="5268595" cy="3721100"/>
            <wp:effectExtent l="0" t="0" r="8255" b="12700"/>
            <wp:docPr id="2" name="图片 2" descr="F:/20251126吴家窑封矢量数据/130121200吴家窑乡02国土空间总体格局规划图.jpg130121200吴家窑乡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20251126吴家窑封矢量数据/130121200吴家窑乡02国土空间总体格局规划图.jpg130121200吴家窑乡02国土空间总体格局规划图"/>
                    <pic:cNvPicPr>
                      <a:picLocks noChangeAspect="1"/>
                    </pic:cNvPicPr>
                  </pic:nvPicPr>
                  <pic:blipFill>
                    <a:blip r:embed="rId7"/>
                    <a:srcRect t="42" b="42"/>
                    <a:stretch>
                      <a:fillRect/>
                    </a:stretch>
                  </pic:blipFill>
                  <pic:spPr>
                    <a:xfrm>
                      <a:off x="0" y="0"/>
                      <a:ext cx="5268595" cy="3721100"/>
                    </a:xfrm>
                    <a:prstGeom prst="rect">
                      <a:avLst/>
                    </a:prstGeom>
                  </pic:spPr>
                </pic:pic>
              </a:graphicData>
            </a:graphic>
          </wp:inline>
        </w:drawing>
      </w:r>
    </w:p>
    <w:p w14:paraId="61D24633">
      <w:pPr>
        <w:pStyle w:val="34"/>
        <w:bidi w:val="0"/>
        <w:rPr>
          <w:rFonts w:hint="default"/>
          <w:lang w:val="en-US" w:eastAsia="zh-CN"/>
        </w:rPr>
      </w:pPr>
      <w:r>
        <w:rPr>
          <w:rFonts w:hint="default"/>
          <w:lang w:val="en-US" w:eastAsia="zh-CN"/>
        </w:rPr>
        <w:drawing>
          <wp:inline distT="0" distB="0" distL="114300" distR="114300">
            <wp:extent cx="5268595" cy="3721100"/>
            <wp:effectExtent l="0" t="0" r="8255" b="12700"/>
            <wp:docPr id="3" name="图片 3" descr="F:/20251126吴家窑封矢量数据/130121200吴家窑乡10村庄布点规划图.jpg130121200吴家窑乡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20251126吴家窑封矢量数据/130121200吴家窑乡10村庄布点规划图.jpg130121200吴家窑乡10村庄布点规划图"/>
                    <pic:cNvPicPr>
                      <a:picLocks noChangeAspect="1"/>
                    </pic:cNvPicPr>
                  </pic:nvPicPr>
                  <pic:blipFill>
                    <a:blip r:embed="rId8"/>
                    <a:srcRect t="42" b="42"/>
                    <a:stretch>
                      <a:fillRect/>
                    </a:stretch>
                  </pic:blipFill>
                  <pic:spPr>
                    <a:xfrm>
                      <a:off x="0" y="0"/>
                      <a:ext cx="5268595" cy="3721100"/>
                    </a:xfrm>
                    <a:prstGeom prst="rect">
                      <a:avLst/>
                    </a:prstGeom>
                  </pic:spPr>
                </pic:pic>
              </a:graphicData>
            </a:graphic>
          </wp:inline>
        </w:drawing>
      </w:r>
    </w:p>
    <w:p w14:paraId="406AFE1D">
      <w:pPr>
        <w:pStyle w:val="34"/>
        <w:bidi w:val="0"/>
        <w:rPr>
          <w:rFonts w:hint="default"/>
          <w:lang w:val="en-US" w:eastAsia="zh-CN"/>
        </w:rPr>
      </w:pPr>
      <w:r>
        <w:rPr>
          <w:rFonts w:hint="default"/>
          <w:lang w:val="en-US" w:eastAsia="zh-CN"/>
        </w:rPr>
        <w:drawing>
          <wp:inline distT="0" distB="0" distL="114300" distR="114300">
            <wp:extent cx="5267960" cy="3721735"/>
            <wp:effectExtent l="0" t="0" r="8890" b="12065"/>
            <wp:docPr id="4" name="图片 4" descr="F:/20251126吴家窑封矢量数据/130121200吴家窑乡15国土空间规划分区图.jpg130121200吴家窑乡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20251126吴家窑封矢量数据/130121200吴家窑乡15国土空间规划分区图.jpg130121200吴家窑乡15国土空间规划分区图"/>
                    <pic:cNvPicPr>
                      <a:picLocks noChangeAspect="1"/>
                    </pic:cNvPicPr>
                  </pic:nvPicPr>
                  <pic:blipFill>
                    <a:blip r:embed="rId9"/>
                    <a:srcRect t="24" b="24"/>
                    <a:stretch>
                      <a:fillRect/>
                    </a:stretch>
                  </pic:blipFill>
                  <pic:spPr>
                    <a:xfrm>
                      <a:off x="0" y="0"/>
                      <a:ext cx="5267960" cy="3721735"/>
                    </a:xfrm>
                    <a:prstGeom prst="rect">
                      <a:avLst/>
                    </a:prstGeom>
                  </pic:spPr>
                </pic:pic>
              </a:graphicData>
            </a:graphic>
          </wp:inline>
        </w:drawing>
      </w:r>
    </w:p>
    <w:sectPr>
      <w:pgSz w:w="11906" w:h="16838"/>
      <w:pgMar w:top="1440" w:right="1803" w:bottom="1440" w:left="1803" w:header="851" w:footer="992" w:gutter="0"/>
      <w:pgBorders>
        <w:top w:val="none" w:sz="0" w:space="0"/>
        <w:left w:val="none" w:sz="0" w:space="0"/>
        <w:bottom w:val="none" w:sz="0" w:space="0"/>
        <w:right w:val="none" w:sz="0" w:space="0"/>
      </w:pgBorders>
      <w:pgNumType w:fmt="decimal"/>
      <w:cols w:space="720" w:num="1"/>
      <w:rtlGutter w:val="0"/>
      <w:docGrid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0000600000000000000"/>
    <w:charset w:val="86"/>
    <w:family w:val="auto"/>
    <w:pitch w:val="default"/>
    <w:sig w:usb0="800002BF" w:usb1="184F6CF8" w:usb2="00000012" w:usb3="00000000" w:csb0="00160001" w:csb1="12030000"/>
  </w:font>
  <w:font w:name="仿宋">
    <w:panose1 w:val="02010609060101010101"/>
    <w:charset w:val="86"/>
    <w:family w:val="auto"/>
    <w:pitch w:val="default"/>
    <w:sig w:usb0="800002BF" w:usb1="38CF7CFA" w:usb2="00000016" w:usb3="00000000" w:csb0="00040001" w:csb1="00000000"/>
  </w:font>
  <w:font w:name="Times New Roman Regular">
    <w:altName w:val="Times New Roman"/>
    <w:panose1 w:val="00000000000000000000"/>
    <w:charset w:val="00"/>
    <w:family w:val="auto"/>
    <w:pitch w:val="default"/>
    <w:sig w:usb0="00000000" w:usb1="00000000" w:usb2="00000001" w:usb3="00000000" w:csb0="400001BF" w:csb1="DFF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11F67E"/>
    <w:multiLevelType w:val="multilevel"/>
    <w:tmpl w:val="A611F67E"/>
    <w:lvl w:ilvl="0" w:tentative="0">
      <w:start w:val="1"/>
      <w:numFmt w:val="chineseCounting"/>
      <w:pStyle w:val="2"/>
      <w:suff w:val="space"/>
      <w:lvlText w:val="第%1章 "/>
      <w:lvlJc w:val="left"/>
      <w:pPr>
        <w:tabs>
          <w:tab w:val="left" w:pos="0"/>
        </w:tabs>
        <w:ind w:left="0" w:firstLine="402"/>
      </w:pPr>
      <w:rPr>
        <w:rFonts w:hint="eastAsia" w:ascii="方正小标宋_GBK" w:hAnsi="方正小标宋_GBK" w:eastAsia="方正小标宋_GBK"/>
        <w:sz w:val="36"/>
        <w:szCs w:val="36"/>
      </w:rPr>
    </w:lvl>
    <w:lvl w:ilvl="1" w:tentative="0">
      <w:start w:val="1"/>
      <w:numFmt w:val="chineseCounting"/>
      <w:pStyle w:val="3"/>
      <w:suff w:val="nothing"/>
      <w:lvlText w:val="第%2节  "/>
      <w:lvlJc w:val="left"/>
      <w:pPr>
        <w:tabs>
          <w:tab w:val="left" w:pos="0"/>
        </w:tabs>
        <w:ind w:left="0" w:firstLine="402"/>
      </w:pPr>
      <w:rPr>
        <w:rFonts w:hint="eastAsia" w:ascii="黑体" w:hAnsi="黑体" w:eastAsia="黑体"/>
        <w:sz w:val="32"/>
        <w:szCs w:val="30"/>
      </w:rPr>
    </w:lvl>
    <w:lvl w:ilvl="2" w:tentative="0">
      <w:start w:val="1"/>
      <w:numFmt w:val="decimal"/>
      <w:lvlRestart w:val="0"/>
      <w:pStyle w:val="4"/>
      <w:suff w:val="nothing"/>
      <w:lvlText w:val="第%3条  "/>
      <w:lvlJc w:val="left"/>
      <w:pPr>
        <w:tabs>
          <w:tab w:val="left" w:pos="0"/>
        </w:tabs>
        <w:ind w:left="0" w:firstLine="402"/>
      </w:pPr>
      <w:rPr>
        <w:rFonts w:hint="eastAsia" w:ascii="楷体_GB2312" w:hAnsi="楷体_GB2312" w:eastAsia="楷体_GB2312"/>
        <w:sz w:val="32"/>
        <w:szCs w:val="32"/>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111F3A2B"/>
    <w:multiLevelType w:val="singleLevel"/>
    <w:tmpl w:val="111F3A2B"/>
    <w:lvl w:ilvl="0" w:tentative="0">
      <w:start w:val="1"/>
      <w:numFmt w:val="chineseCounting"/>
      <w:pStyle w:val="49"/>
      <w:suff w:val="nothing"/>
      <w:lvlText w:val="%1、"/>
      <w:lvlJc w:val="left"/>
      <w:pPr>
        <w:ind w:left="0" w:firstLine="397"/>
      </w:pPr>
      <w:rPr>
        <w:rFonts w:hint="eastAsia"/>
      </w:rPr>
    </w:lvl>
  </w:abstractNum>
  <w:abstractNum w:abstractNumId="2">
    <w:nsid w:val="1DD67C98"/>
    <w:multiLevelType w:val="singleLevel"/>
    <w:tmpl w:val="1DD67C98"/>
    <w:lvl w:ilvl="0" w:tentative="0">
      <w:start w:val="1"/>
      <w:numFmt w:val="chineseCounting"/>
      <w:pStyle w:val="50"/>
      <w:suff w:val="nothing"/>
      <w:lvlText w:val="（%1）"/>
      <w:lvlJc w:val="left"/>
      <w:pPr>
        <w:ind w:left="0" w:firstLine="42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documentProtection w:enforcement="0"/>
  <w:defaultTabStop w:val="0"/>
  <w:hyphenationZone w:val="36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Y2FmOTBhOWFjMTFlM2U1NzgxZDg4NWRiMDM4NTgifQ=="/>
  </w:docVars>
  <w:rsids>
    <w:rsidRoot w:val="00172A27"/>
    <w:rsid w:val="00027B37"/>
    <w:rsid w:val="00033C15"/>
    <w:rsid w:val="00076E7C"/>
    <w:rsid w:val="00163A3E"/>
    <w:rsid w:val="00166F22"/>
    <w:rsid w:val="001B314B"/>
    <w:rsid w:val="001D026F"/>
    <w:rsid w:val="00281D04"/>
    <w:rsid w:val="002A2116"/>
    <w:rsid w:val="00305DFF"/>
    <w:rsid w:val="00391B77"/>
    <w:rsid w:val="0044631A"/>
    <w:rsid w:val="00493062"/>
    <w:rsid w:val="00603EAF"/>
    <w:rsid w:val="00696B8C"/>
    <w:rsid w:val="006A2418"/>
    <w:rsid w:val="006D19D9"/>
    <w:rsid w:val="008B0DA7"/>
    <w:rsid w:val="00926DB5"/>
    <w:rsid w:val="009F5F23"/>
    <w:rsid w:val="00A02834"/>
    <w:rsid w:val="00A23CCD"/>
    <w:rsid w:val="00AB23A6"/>
    <w:rsid w:val="00AB2EA1"/>
    <w:rsid w:val="00AD7338"/>
    <w:rsid w:val="00CF79AD"/>
    <w:rsid w:val="00EC2E59"/>
    <w:rsid w:val="00F70D86"/>
    <w:rsid w:val="00FB36C8"/>
    <w:rsid w:val="01655243"/>
    <w:rsid w:val="01893741"/>
    <w:rsid w:val="01906009"/>
    <w:rsid w:val="01B049BB"/>
    <w:rsid w:val="02E30915"/>
    <w:rsid w:val="02FE1295"/>
    <w:rsid w:val="030B2A3C"/>
    <w:rsid w:val="033D7C5A"/>
    <w:rsid w:val="03472716"/>
    <w:rsid w:val="03804BE8"/>
    <w:rsid w:val="039F5A70"/>
    <w:rsid w:val="03A553E2"/>
    <w:rsid w:val="03C2272B"/>
    <w:rsid w:val="03F52BEC"/>
    <w:rsid w:val="04D534CB"/>
    <w:rsid w:val="04EE06F2"/>
    <w:rsid w:val="05483AD3"/>
    <w:rsid w:val="05F9301F"/>
    <w:rsid w:val="06622346"/>
    <w:rsid w:val="066B006C"/>
    <w:rsid w:val="06703003"/>
    <w:rsid w:val="06B238FA"/>
    <w:rsid w:val="07640CB1"/>
    <w:rsid w:val="080C0DE8"/>
    <w:rsid w:val="08253634"/>
    <w:rsid w:val="08331074"/>
    <w:rsid w:val="088B78D9"/>
    <w:rsid w:val="0891182B"/>
    <w:rsid w:val="08BB6CE5"/>
    <w:rsid w:val="09523172"/>
    <w:rsid w:val="0982397F"/>
    <w:rsid w:val="098826BB"/>
    <w:rsid w:val="09EA5F80"/>
    <w:rsid w:val="0A603CE1"/>
    <w:rsid w:val="0B9D756E"/>
    <w:rsid w:val="0BB5225A"/>
    <w:rsid w:val="0BEB6F66"/>
    <w:rsid w:val="0C336A37"/>
    <w:rsid w:val="0C3C376D"/>
    <w:rsid w:val="0D0417DE"/>
    <w:rsid w:val="0D476E7E"/>
    <w:rsid w:val="0ED604C7"/>
    <w:rsid w:val="0EF645A0"/>
    <w:rsid w:val="0F435B80"/>
    <w:rsid w:val="0F5251FA"/>
    <w:rsid w:val="0F9E2056"/>
    <w:rsid w:val="10484987"/>
    <w:rsid w:val="10B90E63"/>
    <w:rsid w:val="111D5E14"/>
    <w:rsid w:val="1153135B"/>
    <w:rsid w:val="119971C1"/>
    <w:rsid w:val="11B462BD"/>
    <w:rsid w:val="12C0739F"/>
    <w:rsid w:val="137D49D8"/>
    <w:rsid w:val="138959E3"/>
    <w:rsid w:val="138C3C92"/>
    <w:rsid w:val="13D8488F"/>
    <w:rsid w:val="15496F4F"/>
    <w:rsid w:val="156830A7"/>
    <w:rsid w:val="156E30FA"/>
    <w:rsid w:val="15C57FEA"/>
    <w:rsid w:val="15D222A6"/>
    <w:rsid w:val="16AD3796"/>
    <w:rsid w:val="184967EF"/>
    <w:rsid w:val="18757538"/>
    <w:rsid w:val="18C80C30"/>
    <w:rsid w:val="19B47F4F"/>
    <w:rsid w:val="19E56821"/>
    <w:rsid w:val="1A2F4F02"/>
    <w:rsid w:val="1A6745A4"/>
    <w:rsid w:val="1A85028A"/>
    <w:rsid w:val="1A975879"/>
    <w:rsid w:val="1B1961E0"/>
    <w:rsid w:val="1B1B2104"/>
    <w:rsid w:val="1B434989"/>
    <w:rsid w:val="1BE33925"/>
    <w:rsid w:val="1C085191"/>
    <w:rsid w:val="1C1601D9"/>
    <w:rsid w:val="1C4E5038"/>
    <w:rsid w:val="1C522735"/>
    <w:rsid w:val="1C784846"/>
    <w:rsid w:val="1D7B31AC"/>
    <w:rsid w:val="1E3E64D5"/>
    <w:rsid w:val="1E5C0C96"/>
    <w:rsid w:val="1EA1723B"/>
    <w:rsid w:val="1EAA2CB1"/>
    <w:rsid w:val="1ED379D1"/>
    <w:rsid w:val="1F973235"/>
    <w:rsid w:val="20397CD9"/>
    <w:rsid w:val="20443008"/>
    <w:rsid w:val="20847C5E"/>
    <w:rsid w:val="20F807BC"/>
    <w:rsid w:val="21132F97"/>
    <w:rsid w:val="211710C1"/>
    <w:rsid w:val="21DB1A71"/>
    <w:rsid w:val="224C7974"/>
    <w:rsid w:val="22986432"/>
    <w:rsid w:val="22B52CA4"/>
    <w:rsid w:val="243C2F1E"/>
    <w:rsid w:val="24997A50"/>
    <w:rsid w:val="250221F5"/>
    <w:rsid w:val="2511662A"/>
    <w:rsid w:val="25457D8E"/>
    <w:rsid w:val="25FF63CA"/>
    <w:rsid w:val="26151358"/>
    <w:rsid w:val="26290FC4"/>
    <w:rsid w:val="263132A0"/>
    <w:rsid w:val="26443F74"/>
    <w:rsid w:val="2660756F"/>
    <w:rsid w:val="266A3452"/>
    <w:rsid w:val="26B85A22"/>
    <w:rsid w:val="26BE19EF"/>
    <w:rsid w:val="27EC7E96"/>
    <w:rsid w:val="28F942BB"/>
    <w:rsid w:val="2A374C26"/>
    <w:rsid w:val="2B732D2C"/>
    <w:rsid w:val="2BB855A9"/>
    <w:rsid w:val="2C8344BA"/>
    <w:rsid w:val="2D014005"/>
    <w:rsid w:val="2D025AB3"/>
    <w:rsid w:val="2D0770E3"/>
    <w:rsid w:val="2D426ED6"/>
    <w:rsid w:val="2DC86CB0"/>
    <w:rsid w:val="2E4226DD"/>
    <w:rsid w:val="2EEF57BD"/>
    <w:rsid w:val="2F8121F9"/>
    <w:rsid w:val="30062A53"/>
    <w:rsid w:val="300C5986"/>
    <w:rsid w:val="30144B40"/>
    <w:rsid w:val="305D1EAE"/>
    <w:rsid w:val="306C426A"/>
    <w:rsid w:val="30861CF0"/>
    <w:rsid w:val="30C87545"/>
    <w:rsid w:val="30F2476F"/>
    <w:rsid w:val="31554CFE"/>
    <w:rsid w:val="31AC675D"/>
    <w:rsid w:val="320746CF"/>
    <w:rsid w:val="322D6958"/>
    <w:rsid w:val="32B7030D"/>
    <w:rsid w:val="32C12C2B"/>
    <w:rsid w:val="32D876C7"/>
    <w:rsid w:val="32E30540"/>
    <w:rsid w:val="335473B7"/>
    <w:rsid w:val="33EB36F8"/>
    <w:rsid w:val="34161EC7"/>
    <w:rsid w:val="34FE057D"/>
    <w:rsid w:val="354F4CF5"/>
    <w:rsid w:val="35906305"/>
    <w:rsid w:val="35C06E1B"/>
    <w:rsid w:val="35E8636C"/>
    <w:rsid w:val="36034D29"/>
    <w:rsid w:val="36610C19"/>
    <w:rsid w:val="367F39EB"/>
    <w:rsid w:val="3745765C"/>
    <w:rsid w:val="37495673"/>
    <w:rsid w:val="37AE2972"/>
    <w:rsid w:val="38295B4A"/>
    <w:rsid w:val="38305AD3"/>
    <w:rsid w:val="383F79D7"/>
    <w:rsid w:val="384E5875"/>
    <w:rsid w:val="38A071A7"/>
    <w:rsid w:val="38C369F1"/>
    <w:rsid w:val="396C0E37"/>
    <w:rsid w:val="39A52477"/>
    <w:rsid w:val="3A270E39"/>
    <w:rsid w:val="3AE5195A"/>
    <w:rsid w:val="3BE25979"/>
    <w:rsid w:val="3C000A12"/>
    <w:rsid w:val="3C0A47A5"/>
    <w:rsid w:val="3C3551C7"/>
    <w:rsid w:val="3C750E95"/>
    <w:rsid w:val="3CA562E6"/>
    <w:rsid w:val="3CF273F1"/>
    <w:rsid w:val="3E19718E"/>
    <w:rsid w:val="3EB30FC3"/>
    <w:rsid w:val="3EDC5590"/>
    <w:rsid w:val="3EE15658"/>
    <w:rsid w:val="3F1E5ED2"/>
    <w:rsid w:val="3F4B70E6"/>
    <w:rsid w:val="3FD503C0"/>
    <w:rsid w:val="3FF3103D"/>
    <w:rsid w:val="3FFC3940"/>
    <w:rsid w:val="40452CCE"/>
    <w:rsid w:val="408772D8"/>
    <w:rsid w:val="40890521"/>
    <w:rsid w:val="409C4A56"/>
    <w:rsid w:val="41EF5A1D"/>
    <w:rsid w:val="42F83BFA"/>
    <w:rsid w:val="430C7FAB"/>
    <w:rsid w:val="43C95542"/>
    <w:rsid w:val="44165D14"/>
    <w:rsid w:val="44444ED0"/>
    <w:rsid w:val="44FA0CD3"/>
    <w:rsid w:val="457E2E09"/>
    <w:rsid w:val="457E4886"/>
    <w:rsid w:val="46031D8D"/>
    <w:rsid w:val="46595971"/>
    <w:rsid w:val="46C922BA"/>
    <w:rsid w:val="476046D5"/>
    <w:rsid w:val="477B1935"/>
    <w:rsid w:val="47FA6E80"/>
    <w:rsid w:val="47FD3C57"/>
    <w:rsid w:val="48667B2A"/>
    <w:rsid w:val="48D66617"/>
    <w:rsid w:val="49076E7A"/>
    <w:rsid w:val="49216CB9"/>
    <w:rsid w:val="498F1F57"/>
    <w:rsid w:val="49AD39EF"/>
    <w:rsid w:val="49F34EC0"/>
    <w:rsid w:val="4ADB2B59"/>
    <w:rsid w:val="4B4839BB"/>
    <w:rsid w:val="4BE26227"/>
    <w:rsid w:val="4C152D4D"/>
    <w:rsid w:val="4C3043D3"/>
    <w:rsid w:val="4C476DD8"/>
    <w:rsid w:val="4D165F6B"/>
    <w:rsid w:val="4D5B01D9"/>
    <w:rsid w:val="4D796F0D"/>
    <w:rsid w:val="4DCA29F6"/>
    <w:rsid w:val="4DF072AA"/>
    <w:rsid w:val="4DF463DC"/>
    <w:rsid w:val="4E29218D"/>
    <w:rsid w:val="4E516B22"/>
    <w:rsid w:val="4E7140F2"/>
    <w:rsid w:val="4EC03A6C"/>
    <w:rsid w:val="4EC70E70"/>
    <w:rsid w:val="4F257D84"/>
    <w:rsid w:val="4F4D7908"/>
    <w:rsid w:val="4FFC1018"/>
    <w:rsid w:val="504B4A2A"/>
    <w:rsid w:val="50F65A50"/>
    <w:rsid w:val="51243D4F"/>
    <w:rsid w:val="51424955"/>
    <w:rsid w:val="51662901"/>
    <w:rsid w:val="516721B8"/>
    <w:rsid w:val="520624AD"/>
    <w:rsid w:val="528B2778"/>
    <w:rsid w:val="529E2CA5"/>
    <w:rsid w:val="52F8477C"/>
    <w:rsid w:val="53025EFC"/>
    <w:rsid w:val="53A72DF2"/>
    <w:rsid w:val="53C91C9E"/>
    <w:rsid w:val="55833605"/>
    <w:rsid w:val="55B26DA9"/>
    <w:rsid w:val="562C39D0"/>
    <w:rsid w:val="56CC232E"/>
    <w:rsid w:val="56E14FD6"/>
    <w:rsid w:val="57002DC1"/>
    <w:rsid w:val="570A1F63"/>
    <w:rsid w:val="58581D82"/>
    <w:rsid w:val="58CB5722"/>
    <w:rsid w:val="58FA39E0"/>
    <w:rsid w:val="59127A0C"/>
    <w:rsid w:val="59C50504"/>
    <w:rsid w:val="59FE5625"/>
    <w:rsid w:val="5A731BCE"/>
    <w:rsid w:val="5A8B4B30"/>
    <w:rsid w:val="5B5E1679"/>
    <w:rsid w:val="5B8C5E71"/>
    <w:rsid w:val="5B977685"/>
    <w:rsid w:val="5B9E7DF2"/>
    <w:rsid w:val="5C224533"/>
    <w:rsid w:val="5C96155D"/>
    <w:rsid w:val="5D281560"/>
    <w:rsid w:val="5DE20E10"/>
    <w:rsid w:val="5E07142D"/>
    <w:rsid w:val="5E0C263D"/>
    <w:rsid w:val="5EB037A4"/>
    <w:rsid w:val="5EB96AAA"/>
    <w:rsid w:val="5F3B0ECA"/>
    <w:rsid w:val="6059598F"/>
    <w:rsid w:val="60E05B3D"/>
    <w:rsid w:val="610D0751"/>
    <w:rsid w:val="62175534"/>
    <w:rsid w:val="62C52970"/>
    <w:rsid w:val="62D66050"/>
    <w:rsid w:val="62E12F32"/>
    <w:rsid w:val="62E677EE"/>
    <w:rsid w:val="63AC0E3D"/>
    <w:rsid w:val="63CF6F29"/>
    <w:rsid w:val="63F06720"/>
    <w:rsid w:val="63FF44D2"/>
    <w:rsid w:val="650F1B4B"/>
    <w:rsid w:val="65A73628"/>
    <w:rsid w:val="65C26ABF"/>
    <w:rsid w:val="65C46CD4"/>
    <w:rsid w:val="66426DFE"/>
    <w:rsid w:val="677A2CE6"/>
    <w:rsid w:val="678C73B0"/>
    <w:rsid w:val="67F60978"/>
    <w:rsid w:val="68132EF5"/>
    <w:rsid w:val="68FD194E"/>
    <w:rsid w:val="6A0F0D12"/>
    <w:rsid w:val="6A55309E"/>
    <w:rsid w:val="6A792DB3"/>
    <w:rsid w:val="6AA716B4"/>
    <w:rsid w:val="6B467892"/>
    <w:rsid w:val="6B5F111A"/>
    <w:rsid w:val="6BBE449F"/>
    <w:rsid w:val="6BE8232A"/>
    <w:rsid w:val="6BEC7C01"/>
    <w:rsid w:val="6C871626"/>
    <w:rsid w:val="6D041684"/>
    <w:rsid w:val="6D7B09F7"/>
    <w:rsid w:val="6DD53539"/>
    <w:rsid w:val="6DE82055"/>
    <w:rsid w:val="6E022E04"/>
    <w:rsid w:val="6F052E67"/>
    <w:rsid w:val="6F285225"/>
    <w:rsid w:val="7066557E"/>
    <w:rsid w:val="70FC4672"/>
    <w:rsid w:val="7113780F"/>
    <w:rsid w:val="711D0DD2"/>
    <w:rsid w:val="71233EF6"/>
    <w:rsid w:val="713D340A"/>
    <w:rsid w:val="714B51FB"/>
    <w:rsid w:val="71BB16AE"/>
    <w:rsid w:val="72387A5C"/>
    <w:rsid w:val="725676CF"/>
    <w:rsid w:val="72871C1F"/>
    <w:rsid w:val="730304E2"/>
    <w:rsid w:val="73A57D53"/>
    <w:rsid w:val="74100E8F"/>
    <w:rsid w:val="76704A3E"/>
    <w:rsid w:val="77021206"/>
    <w:rsid w:val="773F45B3"/>
    <w:rsid w:val="77DA60C5"/>
    <w:rsid w:val="78312CE4"/>
    <w:rsid w:val="7882046A"/>
    <w:rsid w:val="78B47B29"/>
    <w:rsid w:val="78D05F70"/>
    <w:rsid w:val="78E62FA1"/>
    <w:rsid w:val="78F46777"/>
    <w:rsid w:val="79BB32C1"/>
    <w:rsid w:val="79CC1A0A"/>
    <w:rsid w:val="7AFE7DA7"/>
    <w:rsid w:val="7B05200B"/>
    <w:rsid w:val="7B387B3F"/>
    <w:rsid w:val="7B5B06AD"/>
    <w:rsid w:val="7BD62ED1"/>
    <w:rsid w:val="7C37624A"/>
    <w:rsid w:val="7C940E6A"/>
    <w:rsid w:val="7E03059A"/>
    <w:rsid w:val="7E370C5F"/>
    <w:rsid w:val="7EED1559"/>
    <w:rsid w:val="7F58764C"/>
    <w:rsid w:val="7F684630"/>
    <w:rsid w:val="7FC555F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nhideWhenUsed="0" w:uiPriority="0" w:semiHidden="0" w:name="Body Text First Indent"/>
    <w:lsdException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adjustRightInd w:val="0"/>
      <w:snapToGrid w:val="0"/>
      <w:spacing w:line="560" w:lineRule="exact"/>
      <w:ind w:firstLine="200" w:firstLineChars="200"/>
      <w:jc w:val="both"/>
    </w:pPr>
    <w:rPr>
      <w:rFonts w:ascii="仿宋_GB2312" w:hAnsi="仿宋_GB2312" w:eastAsia="仿宋_GB2312" w:cs="仿宋_GB2312"/>
      <w:kern w:val="2"/>
      <w:sz w:val="32"/>
      <w:szCs w:val="22"/>
      <w:lang w:val="en-US" w:eastAsia="zh-CN" w:bidi="ar-SA"/>
    </w:rPr>
  </w:style>
  <w:style w:type="paragraph" w:styleId="2">
    <w:name w:val="heading 1"/>
    <w:basedOn w:val="3"/>
    <w:next w:val="1"/>
    <w:link w:val="19"/>
    <w:qFormat/>
    <w:uiPriority w:val="9"/>
    <w:pPr>
      <w:pageBreakBefore/>
      <w:numPr>
        <w:ilvl w:val="0"/>
        <w:numId w:val="1"/>
      </w:numPr>
      <w:snapToGrid w:val="0"/>
      <w:spacing w:before="350" w:beforeLines="350" w:after="150" w:afterLines="150" w:line="240" w:lineRule="auto"/>
      <w:ind w:firstLine="402" w:firstLineChars="0"/>
      <w:jc w:val="center"/>
      <w:outlineLvl w:val="0"/>
    </w:pPr>
    <w:rPr>
      <w:rFonts w:eastAsia="方正小标宋_GBK"/>
      <w:sz w:val="36"/>
      <w:szCs w:val="44"/>
    </w:rPr>
  </w:style>
  <w:style w:type="paragraph" w:styleId="3">
    <w:name w:val="heading 2"/>
    <w:basedOn w:val="1"/>
    <w:next w:val="1"/>
    <w:link w:val="18"/>
    <w:unhideWhenUsed/>
    <w:qFormat/>
    <w:uiPriority w:val="9"/>
    <w:pPr>
      <w:keepNext w:val="0"/>
      <w:numPr>
        <w:ilvl w:val="1"/>
        <w:numId w:val="1"/>
      </w:numPr>
      <w:adjustRightInd w:val="0"/>
      <w:snapToGrid w:val="0"/>
      <w:spacing w:before="100" w:beforeLines="100" w:after="100" w:afterLines="100"/>
      <w:ind w:firstLine="402" w:firstLineChars="0"/>
      <w:jc w:val="center"/>
      <w:outlineLvl w:val="1"/>
    </w:pPr>
    <w:rPr>
      <w:rFonts w:ascii="Times New Roman" w:hAnsi="Times New Roman" w:eastAsia="黑体"/>
    </w:rPr>
  </w:style>
  <w:style w:type="paragraph" w:styleId="4">
    <w:name w:val="heading 3"/>
    <w:basedOn w:val="1"/>
    <w:next w:val="1"/>
    <w:link w:val="20"/>
    <w:unhideWhenUsed/>
    <w:qFormat/>
    <w:uiPriority w:val="9"/>
    <w:pPr>
      <w:numPr>
        <w:ilvl w:val="2"/>
        <w:numId w:val="1"/>
      </w:numPr>
      <w:tabs>
        <w:tab w:val="left" w:pos="840"/>
        <w:tab w:val="clear" w:pos="0"/>
      </w:tabs>
      <w:adjustRightInd w:val="0"/>
      <w:snapToGrid w:val="0"/>
      <w:spacing w:before="50" w:beforeLines="50" w:after="50" w:afterLines="50"/>
      <w:ind w:firstLine="1040" w:firstLineChars="200"/>
      <w:outlineLvl w:val="2"/>
    </w:pPr>
    <w:rPr>
      <w:rFonts w:ascii="楷体_GB2312" w:hAnsi="楷体_GB2312" w:eastAsia="楷体_GB2312"/>
      <w:bCs/>
      <w:szCs w:val="32"/>
    </w:rPr>
  </w:style>
  <w:style w:type="paragraph" w:styleId="5">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6">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6">
    <w:name w:val="toc 3"/>
    <w:basedOn w:val="1"/>
    <w:next w:val="1"/>
    <w:unhideWhenUsed/>
    <w:qFormat/>
    <w:uiPriority w:val="39"/>
    <w:pPr>
      <w:ind w:left="840" w:leftChars="400"/>
    </w:pPr>
  </w:style>
  <w:style w:type="paragraph" w:styleId="7">
    <w:name w:val="Date"/>
    <w:basedOn w:val="1"/>
    <w:next w:val="1"/>
    <w:link w:val="21"/>
    <w:unhideWhenUsed/>
    <w:qFormat/>
    <w:uiPriority w:val="99"/>
    <w:pPr>
      <w:ind w:left="100" w:leftChars="2500"/>
    </w:pPr>
  </w:style>
  <w:style w:type="paragraph" w:styleId="8">
    <w:name w:val="footer"/>
    <w:basedOn w:val="1"/>
    <w:unhideWhenUsed/>
    <w:qFormat/>
    <w:uiPriority w:val="99"/>
    <w:pPr>
      <w:tabs>
        <w:tab w:val="center" w:pos="4153"/>
        <w:tab w:val="right" w:pos="8306"/>
      </w:tabs>
      <w:snapToGrid w:val="0"/>
      <w:spacing w:line="240" w:lineRule="auto"/>
      <w:ind w:firstLine="0" w:firstLineChars="0"/>
      <w:jc w:val="left"/>
    </w:pPr>
    <w:rPr>
      <w:rFonts w:ascii="Times New Roman" w:hAnsi="Times New Roman"/>
      <w:sz w:val="18"/>
    </w:rPr>
  </w:style>
  <w:style w:type="paragraph" w:styleId="9">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ind w:firstLine="0" w:firstLineChars="0"/>
      <w:jc w:val="right"/>
      <w:outlineLvl w:val="9"/>
    </w:pPr>
    <w:rPr>
      <w:rFonts w:hAnsi="仿宋_GB2312" w:eastAsia="黑体"/>
      <w:sz w:val="21"/>
    </w:rPr>
  </w:style>
  <w:style w:type="paragraph" w:styleId="10">
    <w:name w:val="toc 1"/>
    <w:basedOn w:val="1"/>
    <w:next w:val="1"/>
    <w:qFormat/>
    <w:uiPriority w:val="0"/>
    <w:pPr>
      <w:ind w:firstLine="0" w:firstLineChars="0"/>
    </w:pPr>
    <w:rPr>
      <w:rFonts w:hAnsi="仿宋_GB2312" w:eastAsia="黑体"/>
    </w:rPr>
  </w:style>
  <w:style w:type="paragraph" w:styleId="11">
    <w:name w:val="footnote text"/>
    <w:basedOn w:val="1"/>
    <w:qFormat/>
    <w:uiPriority w:val="0"/>
    <w:pPr>
      <w:snapToGrid w:val="0"/>
      <w:jc w:val="left"/>
    </w:pPr>
    <w:rPr>
      <w:sz w:val="18"/>
    </w:rPr>
  </w:style>
  <w:style w:type="paragraph" w:styleId="12">
    <w:name w:val="toc 2"/>
    <w:basedOn w:val="1"/>
    <w:next w:val="1"/>
    <w:qFormat/>
    <w:uiPriority w:val="0"/>
    <w:pPr>
      <w:ind w:left="0" w:leftChars="0"/>
    </w:pPr>
    <w:rPr>
      <w:rFonts w:eastAsia="楷体"/>
    </w:rPr>
  </w:style>
  <w:style w:type="paragraph" w:styleId="1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15">
    <w:name w:val="Table Grid"/>
    <w:basedOn w:val="1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footnote reference"/>
    <w:qFormat/>
    <w:uiPriority w:val="0"/>
    <w:rPr>
      <w:vertAlign w:val="superscript"/>
    </w:rPr>
  </w:style>
  <w:style w:type="character" w:customStyle="1" w:styleId="18">
    <w:name w:val="标题 2 字符"/>
    <w:link w:val="3"/>
    <w:qFormat/>
    <w:uiPriority w:val="9"/>
    <w:rPr>
      <w:rFonts w:ascii="Times New Roman" w:hAnsi="Times New Roman" w:eastAsia="黑体"/>
      <w:kern w:val="2"/>
      <w:sz w:val="32"/>
      <w:szCs w:val="22"/>
      <w:lang w:val="en-US" w:eastAsia="zh-CN" w:bidi="ar-SA"/>
    </w:rPr>
  </w:style>
  <w:style w:type="character" w:customStyle="1" w:styleId="19">
    <w:name w:val="标题 1 字符"/>
    <w:link w:val="2"/>
    <w:qFormat/>
    <w:uiPriority w:val="9"/>
    <w:rPr>
      <w:rFonts w:ascii="Times New Roman" w:hAnsi="Times New Roman" w:eastAsia="方正小标宋_GBK"/>
      <w:kern w:val="2"/>
      <w:sz w:val="36"/>
      <w:szCs w:val="44"/>
      <w:lang w:val="en-US" w:eastAsia="zh-CN" w:bidi="ar-SA"/>
    </w:rPr>
  </w:style>
  <w:style w:type="character" w:customStyle="1" w:styleId="20">
    <w:name w:val="标题 3 字符"/>
    <w:link w:val="4"/>
    <w:qFormat/>
    <w:uiPriority w:val="9"/>
    <w:rPr>
      <w:rFonts w:ascii="楷体_GB2312" w:hAnsi="楷体_GB2312" w:eastAsia="楷体_GB2312"/>
      <w:bCs/>
      <w:kern w:val="2"/>
      <w:sz w:val="32"/>
      <w:szCs w:val="32"/>
      <w:lang w:val="en-US" w:eastAsia="zh-CN" w:bidi="ar-SA"/>
    </w:rPr>
  </w:style>
  <w:style w:type="character" w:customStyle="1" w:styleId="21">
    <w:name w:val="日期 字符"/>
    <w:basedOn w:val="16"/>
    <w:link w:val="7"/>
    <w:semiHidden/>
    <w:qFormat/>
    <w:uiPriority w:val="99"/>
  </w:style>
  <w:style w:type="paragraph" w:customStyle="1" w:styleId="22">
    <w:name w:val="封面"/>
    <w:basedOn w:val="1"/>
    <w:next w:val="1"/>
    <w:qFormat/>
    <w:uiPriority w:val="0"/>
    <w:pPr>
      <w:snapToGrid w:val="0"/>
      <w:spacing w:before="1100" w:beforeLines="1100" w:line="240" w:lineRule="auto"/>
      <w:ind w:firstLine="0" w:firstLineChars="0"/>
      <w:jc w:val="center"/>
    </w:pPr>
    <w:rPr>
      <w:rFonts w:ascii="方正小标宋简体" w:hAnsi="方正小标宋简体" w:eastAsia="方正小标宋_GBK"/>
      <w:sz w:val="52"/>
    </w:rPr>
  </w:style>
  <w:style w:type="paragraph" w:customStyle="1" w:styleId="23">
    <w:name w:val="落款"/>
    <w:next w:val="1"/>
    <w:link w:val="24"/>
    <w:qFormat/>
    <w:uiPriority w:val="0"/>
    <w:pPr>
      <w:spacing w:line="560" w:lineRule="exact"/>
      <w:jc w:val="center"/>
    </w:pPr>
    <w:rPr>
      <w:rFonts w:ascii="楷体_GB2312" w:hAnsi="楷体_GB2312" w:eastAsia="楷体_GB2312" w:cs="Times New Roman"/>
      <w:sz w:val="32"/>
    </w:rPr>
  </w:style>
  <w:style w:type="character" w:customStyle="1" w:styleId="24">
    <w:name w:val="落款 Char"/>
    <w:link w:val="23"/>
    <w:qFormat/>
    <w:uiPriority w:val="0"/>
    <w:rPr>
      <w:rFonts w:ascii="楷体_GB2312" w:hAnsi="楷体_GB2312" w:eastAsia="楷体_GB2312"/>
      <w:sz w:val="32"/>
    </w:rPr>
  </w:style>
  <w:style w:type="paragraph" w:customStyle="1" w:styleId="25">
    <w:name w:val="目录"/>
    <w:basedOn w:val="22"/>
    <w:next w:val="1"/>
    <w:qFormat/>
    <w:uiPriority w:val="0"/>
    <w:pPr>
      <w:spacing w:before="200" w:beforeLines="200" w:after="150" w:afterLines="150"/>
      <w:ind w:firstLine="0" w:firstLineChars="0"/>
    </w:pPr>
    <w:rPr>
      <w:rFonts w:eastAsia="方正小标宋_GBK"/>
      <w:sz w:val="44"/>
    </w:rPr>
  </w:style>
  <w:style w:type="paragraph" w:customStyle="1" w:styleId="26">
    <w:name w:val="强制性内容"/>
    <w:basedOn w:val="1"/>
    <w:link w:val="27"/>
    <w:qFormat/>
    <w:uiPriority w:val="0"/>
    <w:pPr>
      <w:ind w:firstLine="640"/>
    </w:pPr>
    <w:rPr>
      <w:u w:val="single"/>
    </w:rPr>
  </w:style>
  <w:style w:type="character" w:customStyle="1" w:styleId="27">
    <w:name w:val="强制性内容 字符"/>
    <w:link w:val="26"/>
    <w:qFormat/>
    <w:uiPriority w:val="0"/>
    <w:rPr>
      <w:rFonts w:ascii="仿宋_GB2312" w:eastAsia="仿宋_GB2312"/>
      <w:kern w:val="2"/>
      <w:sz w:val="32"/>
      <w:szCs w:val="22"/>
      <w:u w:val="single"/>
    </w:rPr>
  </w:style>
  <w:style w:type="paragraph" w:customStyle="1" w:styleId="28">
    <w:name w:val="封面内容"/>
    <w:basedOn w:val="1"/>
    <w:qFormat/>
    <w:uiPriority w:val="0"/>
    <w:pPr>
      <w:numPr>
        <w:ilvl w:val="0"/>
        <w:numId w:val="0"/>
      </w:numPr>
      <w:spacing w:line="240" w:lineRule="auto"/>
      <w:ind w:left="0" w:firstLine="0" w:firstLineChars="0"/>
      <w:jc w:val="center"/>
    </w:pPr>
    <w:rPr>
      <w:rFonts w:eastAsia="方正小标宋_GBK"/>
      <w:sz w:val="44"/>
    </w:rPr>
  </w:style>
  <w:style w:type="paragraph" w:customStyle="1" w:styleId="29">
    <w:name w:val="表格第一行"/>
    <w:basedOn w:val="1"/>
    <w:link w:val="30"/>
    <w:qFormat/>
    <w:uiPriority w:val="0"/>
    <w:pPr>
      <w:keepNext w:val="0"/>
      <w:snapToGrid w:val="0"/>
      <w:spacing w:line="240" w:lineRule="auto"/>
      <w:ind w:firstLine="0" w:firstLineChars="0"/>
      <w:jc w:val="center"/>
    </w:pPr>
    <w:rPr>
      <w:rFonts w:ascii="黑体" w:hAnsi="黑体" w:eastAsia="黑体" w:cs="黑体"/>
      <w:sz w:val="24"/>
      <w:szCs w:val="20"/>
    </w:rPr>
  </w:style>
  <w:style w:type="character" w:customStyle="1" w:styleId="30">
    <w:name w:val="表格第一行 Char"/>
    <w:link w:val="29"/>
    <w:qFormat/>
    <w:uiPriority w:val="0"/>
    <w:rPr>
      <w:rFonts w:ascii="黑体" w:hAnsi="黑体" w:eastAsia="黑体" w:cs="黑体"/>
      <w:sz w:val="24"/>
      <w:szCs w:val="20"/>
    </w:rPr>
  </w:style>
  <w:style w:type="paragraph" w:customStyle="1" w:styleId="31">
    <w:name w:val="表格内容"/>
    <w:basedOn w:val="1"/>
    <w:qFormat/>
    <w:uiPriority w:val="0"/>
    <w:pPr>
      <w:keepNext w:val="0"/>
      <w:snapToGrid w:val="0"/>
      <w:spacing w:line="240" w:lineRule="auto"/>
      <w:ind w:firstLine="0" w:firstLineChars="0"/>
      <w:jc w:val="center"/>
    </w:pPr>
    <w:rPr>
      <w:sz w:val="24"/>
      <w:szCs w:val="20"/>
    </w:rPr>
  </w:style>
  <w:style w:type="paragraph" w:customStyle="1" w:styleId="32">
    <w:name w:val="表格标题"/>
    <w:basedOn w:val="1"/>
    <w:qFormat/>
    <w:uiPriority w:val="0"/>
    <w:pPr>
      <w:keepNext w:val="0"/>
      <w:spacing w:before="100" w:beforeLines="100"/>
      <w:ind w:firstLine="0" w:firstLineChars="0"/>
      <w:jc w:val="center"/>
    </w:pPr>
    <w:rPr>
      <w:rFonts w:hint="eastAsia" w:ascii="黑体" w:hAnsi="黑体" w:eastAsia="黑体"/>
      <w:sz w:val="28"/>
    </w:rPr>
  </w:style>
  <w:style w:type="paragraph" w:customStyle="1" w:styleId="33">
    <w:name w:val="图名"/>
    <w:basedOn w:val="1"/>
    <w:next w:val="1"/>
    <w:qFormat/>
    <w:uiPriority w:val="0"/>
    <w:pPr>
      <w:widowControl/>
      <w:spacing w:before="50" w:beforeLines="50" w:line="240" w:lineRule="auto"/>
      <w:ind w:firstLine="0" w:firstLineChars="0"/>
      <w:jc w:val="center"/>
      <w:textAlignment w:val="center"/>
    </w:pPr>
    <w:rPr>
      <w:rFonts w:hint="eastAsia" w:ascii="Times New Roman" w:hAnsi="Times New Roman" w:eastAsia="楷体" w:cs="Times New Roman"/>
      <w:color w:val="000000"/>
      <w:kern w:val="0"/>
      <w:sz w:val="30"/>
      <w:szCs w:val="28"/>
    </w:rPr>
  </w:style>
  <w:style w:type="paragraph" w:customStyle="1" w:styleId="34">
    <w:name w:val="图片"/>
    <w:basedOn w:val="1"/>
    <w:next w:val="1"/>
    <w:qFormat/>
    <w:uiPriority w:val="0"/>
    <w:pPr>
      <w:widowControl/>
      <w:spacing w:before="50" w:beforeLines="50" w:line="240" w:lineRule="auto"/>
      <w:ind w:firstLine="0" w:firstLineChars="0"/>
      <w:jc w:val="center"/>
      <w:textAlignment w:val="center"/>
    </w:pPr>
    <w:rPr>
      <w:rFonts w:hint="eastAsia" w:cs="Times New Roman"/>
      <w:color w:val="000000"/>
      <w:kern w:val="0"/>
      <w:sz w:val="24"/>
      <w:szCs w:val="28"/>
    </w:rPr>
  </w:style>
  <w:style w:type="paragraph" w:customStyle="1" w:styleId="35">
    <w:name w:val="图表"/>
    <w:basedOn w:val="1"/>
    <w:next w:val="1"/>
    <w:qFormat/>
    <w:uiPriority w:val="0"/>
    <w:pPr>
      <w:widowControl/>
      <w:spacing w:before="156" w:beforeLines="50" w:line="240" w:lineRule="auto"/>
      <w:ind w:firstLine="0" w:firstLineChars="0"/>
      <w:jc w:val="center"/>
      <w:textAlignment w:val="center"/>
    </w:pPr>
    <w:rPr>
      <w:rFonts w:hint="eastAsia" w:eastAsia="仿宋_GB2312" w:cs="Times New Roman"/>
      <w:color w:val="000000"/>
      <w:kern w:val="0"/>
      <w:sz w:val="24"/>
      <w:szCs w:val="28"/>
    </w:rPr>
  </w:style>
  <w:style w:type="paragraph" w:customStyle="1" w:styleId="36">
    <w:name w:val="附表"/>
    <w:basedOn w:val="1"/>
    <w:qFormat/>
    <w:uiPriority w:val="0"/>
    <w:pPr>
      <w:widowControl/>
      <w:ind w:firstLine="0" w:firstLineChars="0"/>
      <w:jc w:val="center"/>
      <w:outlineLvl w:val="1"/>
    </w:pPr>
    <w:rPr>
      <w:rFonts w:ascii="黑体" w:hAnsi="黑体" w:eastAsia="黑体"/>
      <w:szCs w:val="32"/>
    </w:rPr>
  </w:style>
  <w:style w:type="paragraph" w:customStyle="1" w:styleId="37">
    <w:name w:val="附表正文"/>
    <w:basedOn w:val="1"/>
    <w:qFormat/>
    <w:uiPriority w:val="0"/>
    <w:pPr>
      <w:widowControl w:val="0"/>
      <w:autoSpaceDE w:val="0"/>
      <w:autoSpaceDN w:val="0"/>
      <w:spacing w:line="400" w:lineRule="exact"/>
      <w:ind w:firstLine="0" w:firstLineChars="0"/>
      <w:jc w:val="center"/>
      <w:textAlignment w:val="center"/>
    </w:pPr>
    <w:rPr>
      <w:kern w:val="0"/>
      <w:sz w:val="21"/>
      <w:szCs w:val="24"/>
      <w:lang w:bidi="ar"/>
    </w:rPr>
  </w:style>
  <w:style w:type="paragraph" w:customStyle="1" w:styleId="38">
    <w:name w:val="附表备注"/>
    <w:basedOn w:val="1"/>
    <w:qFormat/>
    <w:uiPriority w:val="0"/>
    <w:pPr>
      <w:spacing w:line="240" w:lineRule="auto"/>
      <w:ind w:firstLine="0" w:firstLineChars="0"/>
    </w:pPr>
    <w:rPr>
      <w:rFonts w:eastAsia="楷体_GB2312"/>
      <w:sz w:val="21"/>
    </w:rPr>
  </w:style>
  <w:style w:type="paragraph" w:customStyle="1" w:styleId="39">
    <w:name w:val="附表标题"/>
    <w:basedOn w:val="1"/>
    <w:qFormat/>
    <w:uiPriority w:val="0"/>
    <w:pPr>
      <w:widowControl/>
      <w:ind w:firstLine="0" w:firstLineChars="0"/>
      <w:jc w:val="left"/>
      <w:outlineLvl w:val="0"/>
    </w:pPr>
    <w:rPr>
      <w:rFonts w:eastAsia="黑体"/>
      <w:szCs w:val="32"/>
    </w:rPr>
  </w:style>
  <w:style w:type="paragraph" w:customStyle="1" w:styleId="40">
    <w:name w:val="专栏标题"/>
    <w:basedOn w:val="1"/>
    <w:next w:val="1"/>
    <w:qFormat/>
    <w:uiPriority w:val="0"/>
    <w:pPr>
      <w:numPr>
        <w:ilvl w:val="1"/>
        <w:numId w:val="0"/>
      </w:numPr>
      <w:tabs>
        <w:tab w:val="left" w:pos="0"/>
      </w:tabs>
      <w:spacing w:before="50" w:beforeLines="50" w:after="50" w:afterLines="50" w:line="240" w:lineRule="auto"/>
      <w:ind w:firstLine="0" w:firstLineChars="0"/>
      <w:jc w:val="center"/>
      <w:outlineLvl w:val="9"/>
    </w:pPr>
    <w:rPr>
      <w:rFonts w:ascii="Times New Roman" w:hAnsi="Times New Roman" w:eastAsia="黑体"/>
    </w:rPr>
  </w:style>
  <w:style w:type="paragraph" w:customStyle="1" w:styleId="41">
    <w:name w:val="专栏正文"/>
    <w:basedOn w:val="1"/>
    <w:link w:val="42"/>
    <w:qFormat/>
    <w:uiPriority w:val="0"/>
    <w:pPr>
      <w:spacing w:line="500" w:lineRule="exact"/>
    </w:pPr>
    <w:rPr>
      <w:sz w:val="24"/>
    </w:rPr>
  </w:style>
  <w:style w:type="character" w:customStyle="1" w:styleId="42">
    <w:name w:val="专栏正文 Char"/>
    <w:link w:val="41"/>
    <w:qFormat/>
    <w:uiPriority w:val="0"/>
    <w:rPr>
      <w:sz w:val="24"/>
    </w:rPr>
  </w:style>
  <w:style w:type="paragraph" w:customStyle="1" w:styleId="43">
    <w:name w:val="专栏段首主题句"/>
    <w:basedOn w:val="1"/>
    <w:link w:val="44"/>
    <w:qFormat/>
    <w:uiPriority w:val="0"/>
    <w:pPr>
      <w:spacing w:line="500" w:lineRule="exact"/>
    </w:pPr>
    <w:rPr>
      <w:rFonts w:hint="eastAsia" w:eastAsia="楷体_GB2312"/>
      <w:sz w:val="24"/>
    </w:rPr>
  </w:style>
  <w:style w:type="character" w:customStyle="1" w:styleId="44">
    <w:name w:val="专栏段首主题句 Char"/>
    <w:link w:val="43"/>
    <w:qFormat/>
    <w:uiPriority w:val="0"/>
    <w:rPr>
      <w:rFonts w:hint="eastAsia" w:eastAsia="楷体_GB2312"/>
      <w:sz w:val="24"/>
    </w:rPr>
  </w:style>
  <w:style w:type="paragraph" w:customStyle="1" w:styleId="45">
    <w:name w:val="表格"/>
    <w:next w:val="1"/>
    <w:qFormat/>
    <w:uiPriority w:val="0"/>
    <w:pPr>
      <w:jc w:val="center"/>
      <w:textAlignment w:val="center"/>
    </w:pPr>
    <w:rPr>
      <w:rFonts w:hint="eastAsia" w:ascii="宋体" w:hAnsi="宋体" w:eastAsia="宋体" w:cs="Times New Roman"/>
      <w:color w:val="000000"/>
      <w:sz w:val="22"/>
      <w:lang w:val="en-US" w:eastAsia="zh-CN" w:bidi="ar-SA"/>
    </w:rPr>
  </w:style>
  <w:style w:type="character" w:customStyle="1" w:styleId="46">
    <w:name w:val="附则 Char"/>
    <w:link w:val="47"/>
    <w:qFormat/>
    <w:uiPriority w:val="0"/>
    <w:rPr>
      <w:rFonts w:eastAsia="黑体"/>
      <w:b/>
      <w:szCs w:val="32"/>
    </w:rPr>
  </w:style>
  <w:style w:type="paragraph" w:customStyle="1" w:styleId="47">
    <w:name w:val="附则"/>
    <w:basedOn w:val="1"/>
    <w:link w:val="46"/>
    <w:qFormat/>
    <w:uiPriority w:val="0"/>
    <w:pPr>
      <w:widowControl/>
      <w:ind w:firstLine="0" w:firstLineChars="0"/>
      <w:jc w:val="left"/>
      <w:outlineLvl w:val="0"/>
    </w:pPr>
    <w:rPr>
      <w:rFonts w:eastAsia="黑体"/>
      <w:b/>
      <w:szCs w:val="32"/>
    </w:rPr>
  </w:style>
  <w:style w:type="paragraph" w:customStyle="1" w:styleId="48">
    <w:name w:val="附则题目"/>
    <w:basedOn w:val="1"/>
    <w:qFormat/>
    <w:uiPriority w:val="0"/>
    <w:pPr>
      <w:spacing w:before="350" w:beforeLines="350" w:after="150" w:afterLines="150" w:line="240" w:lineRule="auto"/>
      <w:ind w:firstLine="0" w:firstLineChars="0"/>
      <w:jc w:val="center"/>
    </w:pPr>
    <w:rPr>
      <w:rFonts w:ascii="方正小标宋简体" w:hAnsi="方正小标宋简体" w:eastAsia="方正小标宋_GBK"/>
      <w:sz w:val="44"/>
    </w:rPr>
  </w:style>
  <w:style w:type="paragraph" w:customStyle="1" w:styleId="49">
    <w:name w:val="附则一级标题"/>
    <w:basedOn w:val="1"/>
    <w:qFormat/>
    <w:uiPriority w:val="0"/>
    <w:pPr>
      <w:numPr>
        <w:ilvl w:val="0"/>
        <w:numId w:val="2"/>
      </w:numPr>
      <w:spacing w:line="560" w:lineRule="exact"/>
      <w:ind w:firstLine="1040" w:firstLineChars="200"/>
    </w:pPr>
    <w:rPr>
      <w:rFonts w:ascii="黑体" w:hAnsi="黑体" w:eastAsia="黑体"/>
    </w:rPr>
  </w:style>
  <w:style w:type="paragraph" w:customStyle="1" w:styleId="50">
    <w:name w:val="附则二级标题"/>
    <w:basedOn w:val="1"/>
    <w:qFormat/>
    <w:uiPriority w:val="0"/>
    <w:pPr>
      <w:numPr>
        <w:ilvl w:val="0"/>
        <w:numId w:val="3"/>
      </w:numPr>
    </w:pPr>
    <w:rPr>
      <w:rFonts w:hint="eastAsia" w:ascii="楷体_GB2312" w:hAnsi="楷体_GB2312" w:eastAsia="楷体_GB2312" w:cs="楷体_GB2312"/>
    </w:rPr>
  </w:style>
  <w:style w:type="character" w:customStyle="1" w:styleId="51">
    <w:name w:val="font21"/>
    <w:basedOn w:val="16"/>
    <w:qFormat/>
    <w:uiPriority w:val="0"/>
    <w:rPr>
      <w:rFonts w:hint="default" w:ascii="Times New Roman" w:hAnsi="Times New Roman" w:cs="Times New Roman"/>
      <w:color w:val="000000"/>
      <w:sz w:val="24"/>
      <w:szCs w:val="24"/>
      <w:u w:val="none"/>
    </w:rPr>
  </w:style>
  <w:style w:type="character" w:customStyle="1" w:styleId="52">
    <w:name w:val="font11"/>
    <w:basedOn w:val="16"/>
    <w:qFormat/>
    <w:uiPriority w:val="0"/>
    <w:rPr>
      <w:rFonts w:hint="eastAsia" w:ascii="黑体" w:hAnsi="宋体" w:eastAsia="黑体" w:cs="黑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27728</Words>
  <Characters>31347</Characters>
  <Lines>1</Lines>
  <Paragraphs>1</Paragraphs>
  <TotalTime>8</TotalTime>
  <ScaleCrop>false</ScaleCrop>
  <LinksUpToDate>false</LinksUpToDate>
  <CharactersWithSpaces>32019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2024-08-19T03:48:00Z</dcterms:created>
  <dc:creator>Administrator</dc:creator>
  <cp:lastModifiedBy>Administrator</cp:lastModifiedBy>
  <dcterms:modified xsi:type="dcterms:W3CDTF">2026-02-24T03:26:00Z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35127ACA916C401A925A669CAD1570D9_13</vt:lpwstr>
  </property>
  <property fmtid="{D5CDD505-2E9C-101B-9397-08002B2CF9AE}" pid="4" name="KSOTemplateDocerSaveRecord">
    <vt:lpwstr>eyJoZGlkIjoiOGY5YjZjNjIxNTkxNTE1MDg1YTg1ODg4MWQxYjdlNjUiLCJ1c2VySWQiOiI2MjM4NDM5NzEifQ==</vt:lpwstr>
  </property>
</Properties>
</file>