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DB64BE" w14:textId="77777777" w:rsidR="00A41D68" w:rsidRDefault="00000000">
      <w:pPr>
        <w:spacing w:before="1" w:line="228" w:lineRule="auto"/>
        <w:ind w:left="635"/>
        <w:rPr>
          <w:rFonts w:ascii="黑体" w:eastAsia="黑体" w:hAnsi="黑体" w:cs="黑体" w:hint="eastAsia"/>
          <w:color w:val="333333"/>
          <w:spacing w:val="6"/>
          <w:sz w:val="32"/>
          <w:szCs w:val="32"/>
          <w:lang w:eastAsia="zh-CN"/>
        </w:rPr>
      </w:pPr>
      <w:r>
        <w:rPr>
          <w:rFonts w:ascii="黑体" w:eastAsia="黑体" w:hAnsi="黑体" w:cs="黑体"/>
          <w:color w:val="333333"/>
          <w:spacing w:val="6"/>
          <w:sz w:val="32"/>
          <w:szCs w:val="32"/>
          <w:lang w:eastAsia="zh-CN"/>
        </w:rPr>
        <w:t>《</w:t>
      </w:r>
      <w:r>
        <w:rPr>
          <w:rFonts w:ascii="黑体" w:eastAsia="黑体" w:hAnsi="黑体" w:cs="黑体" w:hint="eastAsia"/>
          <w:color w:val="333333"/>
          <w:spacing w:val="6"/>
          <w:sz w:val="32"/>
          <w:szCs w:val="32"/>
          <w:lang w:eastAsia="zh-CN"/>
        </w:rPr>
        <w:t>于家乡</w:t>
      </w:r>
      <w:r>
        <w:rPr>
          <w:rFonts w:ascii="黑体" w:eastAsia="黑体" w:hAnsi="黑体" w:cs="黑体"/>
          <w:color w:val="333333"/>
          <w:spacing w:val="6"/>
          <w:sz w:val="32"/>
          <w:szCs w:val="32"/>
          <w:lang w:eastAsia="zh-CN"/>
        </w:rPr>
        <w:t>国土空间总体规划（2021-2035年）》批后公告</w:t>
      </w:r>
    </w:p>
    <w:p w14:paraId="48B4A776" w14:textId="68C47BA8" w:rsidR="00A41D68" w:rsidRDefault="00000000">
      <w:pPr>
        <w:pStyle w:val="a3"/>
        <w:kinsoku/>
        <w:spacing w:before="174" w:line="360" w:lineRule="auto"/>
        <w:ind w:firstLineChars="200" w:firstLine="628"/>
        <w:jc w:val="both"/>
        <w:rPr>
          <w:rFonts w:hint="eastAsia"/>
          <w:spacing w:val="4"/>
        </w:rPr>
      </w:pPr>
      <w:r>
        <w:rPr>
          <w:spacing w:val="4"/>
          <w:lang w:eastAsia="zh-CN"/>
        </w:rPr>
        <w:t>《</w:t>
      </w:r>
      <w:r>
        <w:rPr>
          <w:rFonts w:hint="eastAsia"/>
          <w:spacing w:val="4"/>
          <w:lang w:eastAsia="zh-CN"/>
        </w:rPr>
        <w:t>于家乡</w:t>
      </w:r>
      <w:r>
        <w:rPr>
          <w:spacing w:val="4"/>
          <w:lang w:eastAsia="zh-CN"/>
        </w:rPr>
        <w:t>国土空间总体规划（2021-2035年）》已于2025年6月30日获</w:t>
      </w:r>
      <w:r>
        <w:rPr>
          <w:rFonts w:hint="eastAsia"/>
          <w:spacing w:val="4"/>
          <w:lang w:eastAsia="zh-CN"/>
        </w:rPr>
        <w:t>井陉县</w:t>
      </w:r>
      <w:r>
        <w:rPr>
          <w:spacing w:val="4"/>
          <w:lang w:eastAsia="zh-CN"/>
        </w:rPr>
        <w:t>人民政府批准（</w:t>
      </w:r>
      <w:r>
        <w:rPr>
          <w:rFonts w:hint="eastAsia"/>
          <w:spacing w:val="4"/>
          <w:lang w:eastAsia="zh-CN"/>
        </w:rPr>
        <w:t>井</w:t>
      </w:r>
      <w:r>
        <w:rPr>
          <w:spacing w:val="4"/>
          <w:lang w:eastAsia="zh-CN"/>
        </w:rPr>
        <w:t>政[2025]</w:t>
      </w:r>
      <w:r w:rsidR="00D70E6B">
        <w:rPr>
          <w:rFonts w:hint="eastAsia"/>
          <w:spacing w:val="4"/>
          <w:lang w:eastAsia="zh-CN"/>
        </w:rPr>
        <w:t>67</w:t>
      </w:r>
      <w:r>
        <w:rPr>
          <w:spacing w:val="4"/>
          <w:lang w:eastAsia="zh-CN"/>
        </w:rPr>
        <w:t>号），现予以公告。</w:t>
      </w:r>
      <w:r>
        <w:rPr>
          <w:spacing w:val="4"/>
        </w:rPr>
        <w:t>为贯彻落实《中共中央国务院关于建立国土空间规划体系并监督实施的若干意见》《全国国土空间规划纲要（2021-2035年）》《京津冀协同发展规划纲要》《河北省国土空间规划（2021-2035年）》《石家庄市国土空间总体规划（2021-2035年）》《</w:t>
      </w:r>
      <w:r>
        <w:rPr>
          <w:rFonts w:hint="eastAsia"/>
          <w:spacing w:val="4"/>
          <w:lang w:eastAsia="zh-CN"/>
        </w:rPr>
        <w:t>井陉县</w:t>
      </w:r>
      <w:r>
        <w:rPr>
          <w:spacing w:val="4"/>
        </w:rPr>
        <w:t>国土空间总体规划（2021-2035年）》各项要求，推动形成人与自然和谐共生的国土空间开发保护新格局，提升空间治理现代化水平，编制本规划。</w:t>
      </w:r>
    </w:p>
    <w:p w14:paraId="55893CEC" w14:textId="77777777" w:rsidR="00A41D68" w:rsidRDefault="00000000">
      <w:pPr>
        <w:pStyle w:val="a3"/>
        <w:kinsoku/>
        <w:spacing w:before="174" w:line="360" w:lineRule="auto"/>
        <w:ind w:firstLineChars="200" w:firstLine="628"/>
        <w:jc w:val="both"/>
        <w:rPr>
          <w:rFonts w:hint="eastAsia"/>
          <w:spacing w:val="4"/>
        </w:rPr>
      </w:pPr>
      <w:r>
        <w:rPr>
          <w:spacing w:val="4"/>
        </w:rPr>
        <w:t>现将规划主要内容公布如下：</w:t>
      </w:r>
    </w:p>
    <w:p w14:paraId="0CF30886"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一、规划范围</w:t>
      </w:r>
    </w:p>
    <w:p w14:paraId="629AA789" w14:textId="77777777" w:rsidR="00A41D68" w:rsidRDefault="00000000">
      <w:pPr>
        <w:pStyle w:val="a3"/>
        <w:kinsoku/>
        <w:spacing w:before="174" w:line="360" w:lineRule="auto"/>
        <w:ind w:firstLineChars="200" w:firstLine="628"/>
        <w:jc w:val="both"/>
        <w:rPr>
          <w:rFonts w:hint="eastAsia"/>
          <w:spacing w:val="4"/>
          <w:lang w:eastAsia="zh-CN"/>
        </w:rPr>
      </w:pPr>
      <w:r>
        <w:rPr>
          <w:spacing w:val="4"/>
        </w:rPr>
        <w:t>本规划分为</w:t>
      </w:r>
      <w:r>
        <w:rPr>
          <w:rFonts w:hint="eastAsia"/>
          <w:spacing w:val="4"/>
          <w:lang w:eastAsia="zh-CN"/>
        </w:rPr>
        <w:t>乡</w:t>
      </w:r>
      <w:r>
        <w:rPr>
          <w:spacing w:val="4"/>
        </w:rPr>
        <w:t>域和</w:t>
      </w:r>
      <w:r>
        <w:rPr>
          <w:rFonts w:hint="eastAsia"/>
          <w:spacing w:val="4"/>
          <w:lang w:eastAsia="zh-CN"/>
        </w:rPr>
        <w:t>乡</w:t>
      </w:r>
      <w:r>
        <w:rPr>
          <w:spacing w:val="4"/>
        </w:rPr>
        <w:t>政府驻地两个层次。</w:t>
      </w:r>
      <w:r>
        <w:rPr>
          <w:rFonts w:hint="eastAsia"/>
          <w:spacing w:val="4"/>
          <w:lang w:eastAsia="zh-CN"/>
        </w:rPr>
        <w:t>乡</w:t>
      </w:r>
      <w:r>
        <w:rPr>
          <w:spacing w:val="4"/>
        </w:rPr>
        <w:t>域为</w:t>
      </w:r>
      <w:r>
        <w:rPr>
          <w:rFonts w:hint="eastAsia"/>
          <w:spacing w:val="4"/>
          <w:lang w:eastAsia="zh-CN"/>
        </w:rPr>
        <w:t>于家乡</w:t>
      </w:r>
      <w:r>
        <w:rPr>
          <w:spacing w:val="4"/>
        </w:rPr>
        <w:t>行政辖区范围，面积</w:t>
      </w:r>
      <w:r>
        <w:rPr>
          <w:rFonts w:hint="eastAsia"/>
          <w:spacing w:val="4"/>
          <w:lang w:eastAsia="zh-CN"/>
        </w:rPr>
        <w:t>34.33</w:t>
      </w:r>
      <w:r>
        <w:rPr>
          <w:spacing w:val="4"/>
        </w:rPr>
        <w:t>平方公里。</w:t>
      </w:r>
      <w:r>
        <w:rPr>
          <w:rFonts w:hint="eastAsia"/>
          <w:spacing w:val="4"/>
          <w:lang w:eastAsia="zh-CN"/>
        </w:rPr>
        <w:t>乡</w:t>
      </w:r>
      <w:r>
        <w:rPr>
          <w:spacing w:val="4"/>
        </w:rPr>
        <w:t>政府驻地</w:t>
      </w:r>
      <w:r>
        <w:rPr>
          <w:rFonts w:hint="eastAsia"/>
          <w:spacing w:val="4"/>
        </w:rPr>
        <w:t>范围为于家村村庄集中建设范围</w:t>
      </w:r>
      <w:r>
        <w:rPr>
          <w:rFonts w:hint="eastAsia"/>
          <w:spacing w:val="4"/>
          <w:lang w:eastAsia="zh-CN"/>
        </w:rPr>
        <w:t>。</w:t>
      </w:r>
    </w:p>
    <w:p w14:paraId="621A2F13"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二、规划期限</w:t>
      </w:r>
    </w:p>
    <w:p w14:paraId="218CD2DB" w14:textId="77777777" w:rsidR="00A41D68" w:rsidRDefault="00000000">
      <w:pPr>
        <w:pStyle w:val="a3"/>
        <w:kinsoku/>
        <w:spacing w:before="174" w:line="360" w:lineRule="auto"/>
        <w:ind w:firstLineChars="200" w:firstLine="628"/>
        <w:jc w:val="both"/>
        <w:rPr>
          <w:rFonts w:hint="eastAsia"/>
          <w:spacing w:val="4"/>
        </w:rPr>
      </w:pPr>
      <w:r>
        <w:rPr>
          <w:spacing w:val="4"/>
        </w:rPr>
        <w:t>规划基期年为2020年，规划期限为2021-2035年，近期至2025年，远景展望至2050年。</w:t>
      </w:r>
    </w:p>
    <w:p w14:paraId="3281E510"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三、规划定位</w:t>
      </w:r>
    </w:p>
    <w:p w14:paraId="3C3D77EC" w14:textId="77777777" w:rsidR="00A41D68" w:rsidRDefault="00000000">
      <w:pPr>
        <w:pStyle w:val="a3"/>
        <w:kinsoku/>
        <w:spacing w:before="174" w:line="360" w:lineRule="auto"/>
        <w:ind w:firstLineChars="200" w:firstLine="628"/>
        <w:jc w:val="both"/>
        <w:rPr>
          <w:rFonts w:hint="eastAsia"/>
          <w:spacing w:val="4"/>
        </w:rPr>
      </w:pPr>
      <w:r>
        <w:rPr>
          <w:rFonts w:hint="eastAsia"/>
          <w:spacing w:val="4"/>
          <w:lang w:eastAsia="zh-CN"/>
        </w:rPr>
        <w:t>井陉县传统村落集中连片保护利用示范区、宜居宜业宜游的魅力之乡</w:t>
      </w:r>
      <w:r>
        <w:rPr>
          <w:spacing w:val="4"/>
        </w:rPr>
        <w:t>。</w:t>
      </w:r>
    </w:p>
    <w:p w14:paraId="1D2E5BCC"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四、规划目标</w:t>
      </w:r>
    </w:p>
    <w:p w14:paraId="16846A64" w14:textId="77777777" w:rsidR="00A41D68" w:rsidRDefault="00000000">
      <w:pPr>
        <w:pStyle w:val="a3"/>
        <w:kinsoku/>
        <w:spacing w:before="174" w:line="360" w:lineRule="auto"/>
        <w:ind w:firstLineChars="200" w:firstLine="628"/>
        <w:jc w:val="both"/>
        <w:rPr>
          <w:rFonts w:hint="eastAsia"/>
          <w:spacing w:val="4"/>
        </w:rPr>
      </w:pPr>
      <w:r>
        <w:rPr>
          <w:spacing w:val="4"/>
        </w:rPr>
        <w:lastRenderedPageBreak/>
        <w:t>到2025年，空间管制控制线全面落地；山水林田湖草沙一体化保护得到落实；</w:t>
      </w:r>
      <w:r>
        <w:rPr>
          <w:rFonts w:hint="eastAsia"/>
          <w:spacing w:val="4"/>
        </w:rPr>
        <w:t>夯实基础，乡村基础设施条件持续改善，绿色发展全面推进；一二三产业融合发展格局初步形成，乡村产业加快发展，农民收入水平进一步提高。</w:t>
      </w:r>
    </w:p>
    <w:p w14:paraId="70F24A87" w14:textId="77777777" w:rsidR="00A41D68" w:rsidRDefault="00000000">
      <w:pPr>
        <w:pStyle w:val="a3"/>
        <w:kinsoku/>
        <w:spacing w:before="174" w:line="360" w:lineRule="auto"/>
        <w:ind w:firstLineChars="200" w:firstLine="628"/>
        <w:jc w:val="both"/>
        <w:rPr>
          <w:rFonts w:hint="eastAsia"/>
          <w:spacing w:val="4"/>
        </w:rPr>
      </w:pPr>
      <w:r>
        <w:rPr>
          <w:spacing w:val="4"/>
        </w:rPr>
        <w:t>到2035年，</w:t>
      </w:r>
      <w:r>
        <w:rPr>
          <w:rFonts w:hint="eastAsia"/>
          <w:spacing w:val="4"/>
        </w:rPr>
        <w:t>提质增效，优化配置乡域国土空间资源，以旅游服务和特色农产品相结合的乡村振兴产业效果展现，提速提质，于家乡担当井陉县中西部旅游服务重要节点职能。</w:t>
      </w:r>
    </w:p>
    <w:p w14:paraId="1A2212D5" w14:textId="77777777" w:rsidR="00A41D68" w:rsidRDefault="00000000">
      <w:pPr>
        <w:pStyle w:val="a3"/>
        <w:kinsoku/>
        <w:spacing w:before="174" w:line="360" w:lineRule="auto"/>
        <w:ind w:firstLineChars="200" w:firstLine="628"/>
        <w:jc w:val="both"/>
        <w:rPr>
          <w:rFonts w:hint="eastAsia"/>
          <w:spacing w:val="4"/>
        </w:rPr>
      </w:pPr>
      <w:r>
        <w:rPr>
          <w:spacing w:val="4"/>
        </w:rPr>
        <w:t>到2050年，</w:t>
      </w:r>
      <w:r>
        <w:rPr>
          <w:rFonts w:hint="eastAsia"/>
          <w:spacing w:val="4"/>
        </w:rPr>
        <w:t>全面振兴，农业强、农村美、农民富全面实现，把于家乡国土治理成为山青水绿天蓝、宁静优美、产业兴旺、人民安居乐业的向往之地。</w:t>
      </w:r>
    </w:p>
    <w:p w14:paraId="28393D89"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五、落实“三区三线”</w:t>
      </w:r>
    </w:p>
    <w:p w14:paraId="36FA878A" w14:textId="77777777" w:rsidR="00A41D68" w:rsidRDefault="00000000">
      <w:pPr>
        <w:pStyle w:val="a3"/>
        <w:kinsoku/>
        <w:spacing w:before="174" w:line="360" w:lineRule="auto"/>
        <w:ind w:firstLineChars="200" w:firstLine="628"/>
        <w:jc w:val="both"/>
        <w:rPr>
          <w:rFonts w:hint="eastAsia"/>
          <w:spacing w:val="4"/>
        </w:rPr>
      </w:pPr>
      <w:r>
        <w:rPr>
          <w:spacing w:val="4"/>
        </w:rPr>
        <w:t>筑牢国土空间底线，</w:t>
      </w:r>
      <w:r>
        <w:rPr>
          <w:rFonts w:hint="eastAsia"/>
          <w:spacing w:val="4"/>
          <w:lang w:eastAsia="zh-CN"/>
        </w:rPr>
        <w:t>于家乡</w:t>
      </w:r>
      <w:r>
        <w:rPr>
          <w:spacing w:val="4"/>
        </w:rPr>
        <w:t>耕地保有量不低于</w:t>
      </w:r>
      <w:r>
        <w:rPr>
          <w:rFonts w:hint="eastAsia"/>
          <w:spacing w:val="4"/>
        </w:rPr>
        <w:t>695.42公顷（10431.26亩）</w:t>
      </w:r>
      <w:r>
        <w:rPr>
          <w:spacing w:val="4"/>
        </w:rPr>
        <w:t>，其中永久基本农田保护面积不低于</w:t>
      </w:r>
      <w:r>
        <w:rPr>
          <w:rFonts w:hint="eastAsia"/>
          <w:spacing w:val="4"/>
        </w:rPr>
        <w:t>680.81公顷（10212.09亩）</w:t>
      </w:r>
      <w:r>
        <w:rPr>
          <w:spacing w:val="4"/>
        </w:rPr>
        <w:t>，</w:t>
      </w:r>
      <w:r>
        <w:rPr>
          <w:rFonts w:hint="eastAsia"/>
          <w:spacing w:val="4"/>
        </w:rPr>
        <w:t>生态保护红线不低于6.5平方千米</w:t>
      </w:r>
      <w:r>
        <w:rPr>
          <w:rFonts w:hint="eastAsia"/>
          <w:spacing w:val="4"/>
          <w:lang w:eastAsia="zh-CN"/>
        </w:rPr>
        <w:t>，</w:t>
      </w:r>
      <w:r>
        <w:rPr>
          <w:spacing w:val="4"/>
        </w:rPr>
        <w:t>城镇开发边界规模为</w:t>
      </w:r>
      <w:r>
        <w:rPr>
          <w:rFonts w:hint="eastAsia"/>
          <w:spacing w:val="4"/>
        </w:rPr>
        <w:t>100.36公顷</w:t>
      </w:r>
      <w:r>
        <w:rPr>
          <w:spacing w:val="4"/>
        </w:rPr>
        <w:t>。</w:t>
      </w:r>
    </w:p>
    <w:p w14:paraId="442E79A5"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六、落实主体功能区布局</w:t>
      </w:r>
    </w:p>
    <w:p w14:paraId="45FD97D7" w14:textId="77777777" w:rsidR="00A41D68" w:rsidRDefault="00000000">
      <w:pPr>
        <w:pStyle w:val="a3"/>
        <w:kinsoku/>
        <w:spacing w:before="174" w:line="360" w:lineRule="auto"/>
        <w:ind w:firstLineChars="200" w:firstLine="628"/>
        <w:jc w:val="both"/>
        <w:rPr>
          <w:rFonts w:hint="eastAsia"/>
          <w:spacing w:val="4"/>
        </w:rPr>
      </w:pPr>
      <w:r>
        <w:rPr>
          <w:spacing w:val="4"/>
        </w:rPr>
        <w:t>落实县级总规对</w:t>
      </w:r>
      <w:r>
        <w:rPr>
          <w:rFonts w:hint="eastAsia"/>
          <w:spacing w:val="4"/>
          <w:lang w:eastAsia="zh-CN"/>
        </w:rPr>
        <w:t>于家乡</w:t>
      </w:r>
      <w:r>
        <w:rPr>
          <w:spacing w:val="4"/>
        </w:rPr>
        <w:t>的主体功能定位，将</w:t>
      </w:r>
      <w:r>
        <w:rPr>
          <w:rFonts w:hint="eastAsia"/>
          <w:spacing w:val="4"/>
          <w:lang w:eastAsia="zh-CN"/>
        </w:rPr>
        <w:t>于家乡</w:t>
      </w:r>
      <w:r>
        <w:rPr>
          <w:spacing w:val="4"/>
        </w:rPr>
        <w:t>确定为</w:t>
      </w:r>
      <w:r>
        <w:rPr>
          <w:rFonts w:hint="eastAsia"/>
          <w:spacing w:val="4"/>
        </w:rPr>
        <w:t>于家乡为重点生态功能区</w:t>
      </w:r>
      <w:r>
        <w:rPr>
          <w:spacing w:val="4"/>
        </w:rPr>
        <w:t>。</w:t>
      </w:r>
      <w:r>
        <w:rPr>
          <w:rFonts w:hint="eastAsia"/>
          <w:spacing w:val="4"/>
        </w:rPr>
        <w:t>应重点加强水源地保护，保护自然植被，提升水源涵养与水土保持功能。加大矿山整治和生态修复力度，推进造林绿化，湿地和草地保护修复等生态功能，提升“林草”质量。适度发展文化旅游、休闲度假、康复保健等生态休闲产业。</w:t>
      </w:r>
    </w:p>
    <w:p w14:paraId="2CB6F856"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七、国土空间开发保护总体格局</w:t>
      </w:r>
    </w:p>
    <w:p w14:paraId="0261BDEF" w14:textId="77777777" w:rsidR="00A41D68" w:rsidRDefault="00000000">
      <w:pPr>
        <w:pStyle w:val="a3"/>
        <w:kinsoku/>
        <w:spacing w:before="174" w:line="360" w:lineRule="auto"/>
        <w:ind w:firstLineChars="200" w:firstLine="628"/>
        <w:jc w:val="both"/>
        <w:rPr>
          <w:rFonts w:hint="eastAsia"/>
          <w:spacing w:val="4"/>
        </w:rPr>
      </w:pPr>
      <w:r>
        <w:rPr>
          <w:spacing w:val="4"/>
        </w:rPr>
        <w:lastRenderedPageBreak/>
        <w:t>规划</w:t>
      </w:r>
      <w:r>
        <w:rPr>
          <w:rFonts w:hint="eastAsia"/>
          <w:spacing w:val="4"/>
        </w:rPr>
        <w:t>构建“一心、一廊、两区、多点”的国土空间保护开发总体格局。</w:t>
      </w:r>
    </w:p>
    <w:p w14:paraId="7AC02042"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一心是指于家乡政府驻地，为全乡综合服务中心。</w:t>
      </w:r>
    </w:p>
    <w:p w14:paraId="37A28B26"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一廊为太行天路石韵古村文脉走廊。</w:t>
      </w:r>
    </w:p>
    <w:p w14:paraId="71C1156E"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两区为结合乡政府驻地及中心村形成的北部农旅体验区与结合乡域南部丰富山体景观形成南部野游生态旅游区。</w:t>
      </w:r>
    </w:p>
    <w:p w14:paraId="17601AFE"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多点为多个文旅型和生态农业型乡村节点。</w:t>
      </w:r>
    </w:p>
    <w:p w14:paraId="5CF849D4"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八、国土空间规划分区和功能结构</w:t>
      </w:r>
    </w:p>
    <w:p w14:paraId="3C3535C3" w14:textId="77777777" w:rsidR="00A41D68" w:rsidRDefault="00000000">
      <w:pPr>
        <w:pStyle w:val="a3"/>
        <w:kinsoku/>
        <w:spacing w:before="174" w:line="360" w:lineRule="auto"/>
        <w:ind w:firstLineChars="200" w:firstLine="628"/>
        <w:jc w:val="both"/>
        <w:rPr>
          <w:rFonts w:hint="eastAsia"/>
          <w:spacing w:val="4"/>
        </w:rPr>
      </w:pPr>
      <w:r>
        <w:rPr>
          <w:spacing w:val="4"/>
        </w:rPr>
        <w:t>落实和深化主体功能区战略，充分衔接三条控制线，将</w:t>
      </w:r>
      <w:r>
        <w:rPr>
          <w:rFonts w:hint="eastAsia"/>
          <w:spacing w:val="4"/>
          <w:lang w:eastAsia="zh-CN"/>
        </w:rPr>
        <w:t>乡</w:t>
      </w:r>
      <w:r>
        <w:rPr>
          <w:spacing w:val="4"/>
        </w:rPr>
        <w:t>域划分为</w:t>
      </w:r>
      <w:r>
        <w:rPr>
          <w:rFonts w:hint="eastAsia"/>
          <w:spacing w:val="4"/>
        </w:rPr>
        <w:t>生态控制区、农田保护区、城镇发展区、乡村发展区四类一级分区</w:t>
      </w:r>
      <w:r>
        <w:rPr>
          <w:spacing w:val="4"/>
        </w:rPr>
        <w:t>。严格落实县级规划确定的各类约束性指标，以资源利用为主导方式，遵循城乡统筹、地上地下空间统筹的基本原则，统筹安排各类用地。</w:t>
      </w:r>
    </w:p>
    <w:p w14:paraId="605C5B52"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九、优化城乡布局</w:t>
      </w:r>
    </w:p>
    <w:p w14:paraId="52283EB1"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完善乡域服务功能，完善中心村基本服务功能，形成“1个乡政府驻地+2个中心村+9个基层村”三级居民点体系。</w:t>
      </w:r>
    </w:p>
    <w:p w14:paraId="6CF9E756" w14:textId="77777777" w:rsidR="00A41D68" w:rsidRDefault="00000000">
      <w:pPr>
        <w:pStyle w:val="a3"/>
        <w:kinsoku/>
        <w:spacing w:before="174" w:line="360" w:lineRule="auto"/>
        <w:ind w:firstLineChars="200" w:firstLine="628"/>
        <w:jc w:val="both"/>
        <w:rPr>
          <w:rFonts w:hint="eastAsia"/>
          <w:spacing w:val="4"/>
        </w:rPr>
      </w:pPr>
      <w:r>
        <w:rPr>
          <w:spacing w:val="4"/>
        </w:rPr>
        <w:t>强化</w:t>
      </w:r>
      <w:r>
        <w:rPr>
          <w:rFonts w:hint="eastAsia"/>
          <w:spacing w:val="4"/>
          <w:lang w:eastAsia="zh-CN"/>
        </w:rPr>
        <w:t>乡</w:t>
      </w:r>
      <w:r>
        <w:rPr>
          <w:spacing w:val="4"/>
        </w:rPr>
        <w:t>驻地综合服务功能。</w:t>
      </w:r>
      <w:r>
        <w:rPr>
          <w:rFonts w:hint="eastAsia"/>
          <w:spacing w:val="4"/>
          <w:lang w:eastAsia="zh-CN"/>
        </w:rPr>
        <w:t>乡</w:t>
      </w:r>
      <w:r>
        <w:rPr>
          <w:spacing w:val="4"/>
        </w:rPr>
        <w:t>政府驻地是全</w:t>
      </w:r>
      <w:r>
        <w:rPr>
          <w:rFonts w:hint="eastAsia"/>
          <w:spacing w:val="4"/>
          <w:lang w:eastAsia="zh-CN"/>
        </w:rPr>
        <w:t>乡</w:t>
      </w:r>
      <w:r>
        <w:rPr>
          <w:spacing w:val="4"/>
        </w:rPr>
        <w:t>综合服务中心，</w:t>
      </w:r>
      <w:r>
        <w:rPr>
          <w:rFonts w:hint="eastAsia"/>
          <w:spacing w:val="4"/>
        </w:rPr>
        <w:t>加强公共设施服务能力，提升城镇建设水平，强化产业发展功能，满足乡域及周边居民的日常生活服务和农业生产服务的需求。</w:t>
      </w:r>
    </w:p>
    <w:p w14:paraId="4A2CC2AE" w14:textId="77777777" w:rsidR="00A41D68" w:rsidRDefault="00000000">
      <w:pPr>
        <w:pStyle w:val="a3"/>
        <w:kinsoku/>
        <w:spacing w:before="174" w:line="360" w:lineRule="auto"/>
        <w:ind w:firstLineChars="200" w:firstLine="628"/>
        <w:jc w:val="both"/>
        <w:rPr>
          <w:rFonts w:hint="eastAsia"/>
          <w:spacing w:val="4"/>
        </w:rPr>
      </w:pPr>
      <w:r>
        <w:rPr>
          <w:spacing w:val="4"/>
        </w:rPr>
        <w:t>提升中心村周边联动能力。提升中心村对周边村庄的辐射带动能力。</w:t>
      </w:r>
      <w:r>
        <w:rPr>
          <w:rFonts w:hint="eastAsia"/>
          <w:spacing w:val="4"/>
        </w:rPr>
        <w:t>在完善村庄自身基本服务基础上，尽可能补充完善小学、幼儿园、医疗、养老等设施，使中心村具备服务基层村能力。</w:t>
      </w:r>
    </w:p>
    <w:p w14:paraId="3235718B" w14:textId="77777777" w:rsidR="00A41D68" w:rsidRDefault="00000000">
      <w:pPr>
        <w:pStyle w:val="a3"/>
        <w:kinsoku/>
        <w:spacing w:before="174" w:line="360" w:lineRule="auto"/>
        <w:ind w:firstLineChars="200" w:firstLine="628"/>
        <w:jc w:val="both"/>
        <w:rPr>
          <w:rFonts w:hint="eastAsia"/>
          <w:spacing w:val="4"/>
        </w:rPr>
      </w:pPr>
      <w:r>
        <w:rPr>
          <w:spacing w:val="4"/>
        </w:rPr>
        <w:lastRenderedPageBreak/>
        <w:t>完善基层村基本服务水平。基层村作为基层的农业生产组织单元和社区治理单元，应重点完善提升村庄环卫、交通等基础设施和教育、医疗卫生等公共服务设施，加强与中心村、</w:t>
      </w:r>
      <w:r>
        <w:rPr>
          <w:rFonts w:hint="eastAsia"/>
          <w:spacing w:val="4"/>
          <w:lang w:eastAsia="zh-CN"/>
        </w:rPr>
        <w:t>乡</w:t>
      </w:r>
      <w:r>
        <w:rPr>
          <w:spacing w:val="4"/>
        </w:rPr>
        <w:t>政府驻地等的联通，因地制宜推进村庄特色发展。</w:t>
      </w:r>
    </w:p>
    <w:p w14:paraId="47519D4A"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十、</w:t>
      </w:r>
      <w:r>
        <w:rPr>
          <w:rFonts w:ascii="黑体" w:eastAsia="黑体" w:hAnsi="黑体" w:cs="黑体" w:hint="eastAsia"/>
          <w:color w:val="333333"/>
          <w:spacing w:val="6"/>
          <w:sz w:val="32"/>
          <w:szCs w:val="32"/>
          <w:lang w:eastAsia="zh-CN"/>
        </w:rPr>
        <w:t>乡</w:t>
      </w:r>
      <w:r>
        <w:rPr>
          <w:rFonts w:ascii="黑体" w:eastAsia="黑体" w:hAnsi="黑体" w:cs="黑体"/>
          <w:color w:val="333333"/>
          <w:spacing w:val="6"/>
          <w:sz w:val="32"/>
          <w:szCs w:val="32"/>
        </w:rPr>
        <w:t>政府驻地</w:t>
      </w:r>
    </w:p>
    <w:p w14:paraId="210BF7C7"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以凸显“石头文化”为核心，打造“深山藏古秀，瑞石撒幽香”的村庄景观风貌。强化村庄整体、建筑与道路、建筑与山水的空间组织关系，形成山高村低水前流、山青水绿乡荣的古村落风貌。</w:t>
      </w:r>
    </w:p>
    <w:p w14:paraId="632D433D"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十一、历史文化保护和风貌塑造</w:t>
      </w:r>
    </w:p>
    <w:p w14:paraId="5A7972F8" w14:textId="77777777" w:rsidR="00A41D68" w:rsidRDefault="00000000">
      <w:pPr>
        <w:pStyle w:val="a3"/>
        <w:kinsoku/>
        <w:spacing w:before="174" w:line="360" w:lineRule="auto"/>
        <w:ind w:firstLineChars="200" w:firstLine="628"/>
        <w:jc w:val="both"/>
        <w:rPr>
          <w:rFonts w:hint="eastAsia"/>
          <w:spacing w:val="4"/>
          <w:lang w:eastAsia="zh-CN"/>
        </w:rPr>
      </w:pPr>
      <w:r>
        <w:rPr>
          <w:rFonts w:hint="eastAsia"/>
          <w:spacing w:val="4"/>
        </w:rPr>
        <w:t>严格执行文物保护有关要求。加强于家村古村落省级重点文物保护单位的保护力度</w:t>
      </w:r>
      <w:r>
        <w:rPr>
          <w:rFonts w:hint="eastAsia"/>
          <w:spacing w:val="4"/>
          <w:lang w:eastAsia="zh-CN"/>
        </w:rPr>
        <w:t>；</w:t>
      </w:r>
      <w:r>
        <w:rPr>
          <w:rFonts w:hint="eastAsia"/>
          <w:spacing w:val="4"/>
        </w:rPr>
        <w:t>加强6个国家级传统村落的管控和保护</w:t>
      </w:r>
      <w:r>
        <w:rPr>
          <w:rFonts w:hint="eastAsia"/>
          <w:spacing w:val="4"/>
          <w:lang w:eastAsia="zh-CN"/>
        </w:rPr>
        <w:t>；</w:t>
      </w:r>
      <w:r>
        <w:rPr>
          <w:rFonts w:hint="eastAsia"/>
          <w:spacing w:val="4"/>
        </w:rPr>
        <w:t>尚未核定公布为文物保护单位的不可移动文物本体周围一定范围内实施重点保护。落实</w:t>
      </w:r>
      <w:r>
        <w:rPr>
          <w:spacing w:val="4"/>
        </w:rPr>
        <w:t>上级规划确定的历史文化保护线</w:t>
      </w:r>
      <w:r>
        <w:rPr>
          <w:rFonts w:hint="eastAsia"/>
          <w:spacing w:val="4"/>
          <w:lang w:eastAsia="zh-CN"/>
        </w:rPr>
        <w:t>，将</w:t>
      </w:r>
      <w:r>
        <w:rPr>
          <w:rFonts w:hint="eastAsia"/>
          <w:spacing w:val="4"/>
        </w:rPr>
        <w:t>于家村古村落保护范围和建设控制地带</w:t>
      </w:r>
      <w:r>
        <w:rPr>
          <w:spacing w:val="4"/>
        </w:rPr>
        <w:t>划入</w:t>
      </w:r>
      <w:r>
        <w:rPr>
          <w:rFonts w:hint="eastAsia"/>
          <w:spacing w:val="4"/>
        </w:rPr>
        <w:t>历史文化保护线</w:t>
      </w:r>
      <w:r>
        <w:rPr>
          <w:rFonts w:hint="eastAsia"/>
          <w:spacing w:val="4"/>
          <w:lang w:eastAsia="zh-CN"/>
        </w:rPr>
        <w:t>。</w:t>
      </w:r>
    </w:p>
    <w:p w14:paraId="003C7EF2"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构建以古村落景观为主的农旅+文旅模式，实现古村景观、历史资源、民俗风貌互动。形成“一廊、两区、多节点”的景观风貌格局</w:t>
      </w:r>
      <w:r>
        <w:rPr>
          <w:spacing w:val="4"/>
        </w:rPr>
        <w:t>。</w:t>
      </w:r>
    </w:p>
    <w:p w14:paraId="2BDEBE24"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十二、基础设施和综合防灾</w:t>
      </w:r>
    </w:p>
    <w:p w14:paraId="1B3135B6"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规划建立以乡政府驻地为中心，太行天路为交通骨架，通村路为支撑的干支结合、层次分明、功能齐全的道路交通体系。加强交通沿线景观规划及服务站点和设施规划，提升旅游服务组织效率。</w:t>
      </w:r>
    </w:p>
    <w:p w14:paraId="49E645AF" w14:textId="77777777" w:rsidR="00A41D68" w:rsidRDefault="00000000">
      <w:pPr>
        <w:pStyle w:val="a3"/>
        <w:kinsoku/>
        <w:spacing w:before="174" w:line="360" w:lineRule="auto"/>
        <w:ind w:firstLineChars="200" w:firstLine="628"/>
        <w:jc w:val="both"/>
        <w:rPr>
          <w:rFonts w:hint="eastAsia"/>
          <w:spacing w:val="4"/>
          <w:lang w:eastAsia="zh-CN"/>
        </w:rPr>
      </w:pPr>
      <w:r>
        <w:rPr>
          <w:rFonts w:hint="eastAsia"/>
          <w:spacing w:val="4"/>
        </w:rPr>
        <w:lastRenderedPageBreak/>
        <w:t>提高供水保障能力，保障居民用水安全。</w:t>
      </w:r>
      <w:r>
        <w:rPr>
          <w:rFonts w:hint="eastAsia"/>
          <w:spacing w:val="4"/>
          <w:lang w:eastAsia="zh-CN"/>
        </w:rPr>
        <w:t>鼓励使用</w:t>
      </w:r>
      <w:r>
        <w:rPr>
          <w:rFonts w:hint="eastAsia"/>
          <w:spacing w:val="4"/>
        </w:rPr>
        <w:t>清洁供热</w:t>
      </w:r>
      <w:r>
        <w:rPr>
          <w:rFonts w:hint="eastAsia"/>
          <w:spacing w:val="4"/>
          <w:lang w:eastAsia="zh-CN"/>
        </w:rPr>
        <w:t>方式，</w:t>
      </w:r>
      <w:r>
        <w:rPr>
          <w:rFonts w:hint="eastAsia"/>
          <w:spacing w:val="4"/>
        </w:rPr>
        <w:t>提升清洁采暖供热效率</w:t>
      </w:r>
      <w:r>
        <w:rPr>
          <w:rFonts w:hint="eastAsia"/>
          <w:spacing w:val="4"/>
          <w:lang w:eastAsia="zh-CN"/>
        </w:rPr>
        <w:t>。</w:t>
      </w:r>
    </w:p>
    <w:p w14:paraId="220C17C1" w14:textId="77777777" w:rsidR="00A41D68" w:rsidRDefault="00000000">
      <w:pPr>
        <w:pStyle w:val="a3"/>
        <w:kinsoku/>
        <w:spacing w:before="174" w:line="360" w:lineRule="auto"/>
        <w:ind w:firstLineChars="200" w:firstLine="628"/>
        <w:jc w:val="both"/>
        <w:rPr>
          <w:rFonts w:hint="eastAsia"/>
          <w:spacing w:val="4"/>
        </w:rPr>
      </w:pPr>
      <w:r>
        <w:rPr>
          <w:spacing w:val="4"/>
        </w:rPr>
        <w:t>坚持以防为主、防抗救相结合，加强全</w:t>
      </w:r>
      <w:r>
        <w:rPr>
          <w:rFonts w:hint="eastAsia"/>
          <w:spacing w:val="4"/>
          <w:lang w:eastAsia="zh-CN"/>
        </w:rPr>
        <w:t>乡</w:t>
      </w:r>
      <w:r>
        <w:rPr>
          <w:spacing w:val="4"/>
        </w:rPr>
        <w:t>各类灾害风险监测预警能力建设，提高城乡基础设施韧性，建设和完善各类防灾减灾基础设施与应急服务设施，建立健全面向多种灾害风险的综合防灾体系。</w:t>
      </w:r>
    </w:p>
    <w:p w14:paraId="44F7FE09" w14:textId="77777777" w:rsidR="00A41D68" w:rsidRDefault="00000000">
      <w:pPr>
        <w:spacing w:before="1" w:line="228" w:lineRule="auto"/>
        <w:ind w:left="635"/>
        <w:rPr>
          <w:rFonts w:ascii="黑体" w:eastAsia="黑体" w:hAnsi="黑体" w:cs="黑体" w:hint="eastAsia"/>
          <w:color w:val="333333"/>
          <w:spacing w:val="6"/>
          <w:sz w:val="32"/>
          <w:szCs w:val="32"/>
        </w:rPr>
      </w:pPr>
      <w:r>
        <w:rPr>
          <w:rFonts w:ascii="黑体" w:eastAsia="黑体" w:hAnsi="黑体" w:cs="黑体"/>
          <w:color w:val="333333"/>
          <w:spacing w:val="6"/>
          <w:sz w:val="32"/>
          <w:szCs w:val="32"/>
        </w:rPr>
        <w:t>十三、规划传导和实施保障</w:t>
      </w:r>
    </w:p>
    <w:p w14:paraId="78D97E93" w14:textId="77777777" w:rsidR="00A41D68" w:rsidRDefault="00000000">
      <w:pPr>
        <w:pStyle w:val="a3"/>
        <w:kinsoku/>
        <w:spacing w:before="174" w:line="360" w:lineRule="auto"/>
        <w:ind w:firstLineChars="200" w:firstLine="628"/>
        <w:jc w:val="both"/>
        <w:rPr>
          <w:rFonts w:hint="eastAsia"/>
          <w:spacing w:val="4"/>
        </w:rPr>
      </w:pPr>
      <w:r>
        <w:rPr>
          <w:spacing w:val="4"/>
        </w:rPr>
        <w:t>对上位规划的落实。落实县级规划确定对</w:t>
      </w:r>
      <w:r>
        <w:rPr>
          <w:rFonts w:hint="eastAsia"/>
          <w:spacing w:val="4"/>
          <w:lang w:eastAsia="zh-CN"/>
        </w:rPr>
        <w:t>于家乡</w:t>
      </w:r>
      <w:r>
        <w:rPr>
          <w:spacing w:val="4"/>
        </w:rPr>
        <w:t>的职能定位、主体功能区、耕地保护目标、永久基本农田保护面积等约束性指标</w:t>
      </w:r>
      <w:r>
        <w:rPr>
          <w:rFonts w:hint="eastAsia"/>
          <w:spacing w:val="4"/>
        </w:rPr>
        <w:t>；落实县级传导的镇村体系、主体功能区、乡镇职能、乡村和建筑风貌、建设布局等方面的要求。</w:t>
      </w:r>
    </w:p>
    <w:p w14:paraId="4AD9CF67" w14:textId="77777777" w:rsidR="00A41D68" w:rsidRDefault="00000000">
      <w:pPr>
        <w:pStyle w:val="a3"/>
        <w:kinsoku/>
        <w:spacing w:before="174" w:line="360" w:lineRule="auto"/>
        <w:ind w:firstLineChars="200" w:firstLine="628"/>
        <w:jc w:val="both"/>
        <w:rPr>
          <w:rFonts w:hint="eastAsia"/>
          <w:spacing w:val="4"/>
        </w:rPr>
      </w:pPr>
      <w:r>
        <w:rPr>
          <w:spacing w:val="4"/>
        </w:rPr>
        <w:t>对详细规划的传导。结合</w:t>
      </w:r>
      <w:r>
        <w:rPr>
          <w:rFonts w:hint="eastAsia"/>
          <w:spacing w:val="4"/>
          <w:lang w:eastAsia="zh-CN"/>
        </w:rPr>
        <w:t>井陉县</w:t>
      </w:r>
      <w:r>
        <w:rPr>
          <w:spacing w:val="4"/>
        </w:rPr>
        <w:t>村庄分类布局成果，确定村庄规划编制单元，明确村庄规划编制数量和名单；对村庄规划提出等级类型、发展方向等引导，划定村庄建设用地边界；将耕地和永久基本农田等底线管控的指标规模和空间布局传导至村庄。</w:t>
      </w:r>
    </w:p>
    <w:p w14:paraId="20F681F4" w14:textId="77777777" w:rsidR="00A41D68" w:rsidRDefault="00000000">
      <w:pPr>
        <w:pStyle w:val="a3"/>
        <w:kinsoku/>
        <w:spacing w:before="174" w:line="360" w:lineRule="auto"/>
        <w:ind w:firstLineChars="200" w:firstLine="628"/>
        <w:jc w:val="both"/>
        <w:rPr>
          <w:rFonts w:hint="eastAsia"/>
          <w:spacing w:val="4"/>
        </w:rPr>
      </w:pPr>
      <w:r>
        <w:rPr>
          <w:rFonts w:hint="eastAsia"/>
          <w:spacing w:val="4"/>
        </w:rPr>
        <w:t>依据各级国土空间规划的分区、用地等要求，确定项目选址准入规则，严格按照规划确定的建设用地类型、指标控制建设，交通、能源、水利等设施建设落位的，需统筹耕地和永久基本农田、生态保护红线等多方面管控要求。</w:t>
      </w:r>
    </w:p>
    <w:p w14:paraId="2BE437D2" w14:textId="77777777" w:rsidR="00A41D68" w:rsidRDefault="00A41D68">
      <w:pPr>
        <w:pStyle w:val="a3"/>
        <w:kinsoku/>
        <w:spacing w:before="174" w:line="360" w:lineRule="auto"/>
        <w:ind w:firstLineChars="200" w:firstLine="628"/>
        <w:jc w:val="both"/>
        <w:rPr>
          <w:rFonts w:hint="eastAsia"/>
          <w:spacing w:val="4"/>
        </w:rPr>
        <w:sectPr w:rsidR="00A41D68">
          <w:pgSz w:w="11906" w:h="16839"/>
          <w:pgMar w:top="1431" w:right="1209" w:bottom="1208" w:left="1606" w:header="0" w:footer="0" w:gutter="0"/>
          <w:cols w:space="720"/>
        </w:sectPr>
      </w:pPr>
    </w:p>
    <w:p w14:paraId="6D3E4662" w14:textId="77777777" w:rsidR="00A41D68" w:rsidRDefault="00000000">
      <w:r>
        <w:rPr>
          <w:noProof/>
          <w:position w:val="-250"/>
        </w:rPr>
        <w:lastRenderedPageBreak/>
        <w:drawing>
          <wp:inline distT="0" distB="0" distL="0" distR="0" wp14:anchorId="0E6CD292" wp14:editId="7FD6E508">
            <wp:extent cx="8310880" cy="5569585"/>
            <wp:effectExtent l="0" t="0" r="12065" b="13970"/>
            <wp:docPr id="2" name="IM 2" descr="H:\2025年\02井陉\03于家乡\数据库\130121202于家乡国土空间总体规划电子成果数据\2栅格图件\130121202于家乡03国土空间控制线规划图.jpg130121202于家乡03国土空间控制线规划图"/>
            <wp:cNvGraphicFramePr/>
            <a:graphic xmlns:a="http://schemas.openxmlformats.org/drawingml/2006/main">
              <a:graphicData uri="http://schemas.openxmlformats.org/drawingml/2006/picture">
                <pic:pic xmlns:pic="http://schemas.openxmlformats.org/drawingml/2006/picture">
                  <pic:nvPicPr>
                    <pic:cNvPr id="2" name="IM 2" descr="H:\2025年\02井陉\03于家乡\数据库\130121202于家乡国土空间总体规划电子成果数据\2栅格图件\130121202于家乡03国土空间控制线规划图.jpg130121202于家乡03国土空间控制线规划图"/>
                    <pic:cNvPicPr/>
                  </pic:nvPicPr>
                  <pic:blipFill>
                    <a:blip r:embed="rId6"/>
                    <a:srcRect l="118" r="199"/>
                    <a:stretch>
                      <a:fillRect/>
                    </a:stretch>
                  </pic:blipFill>
                  <pic:spPr>
                    <a:xfrm rot="16200000">
                      <a:off x="0" y="0"/>
                      <a:ext cx="8310880" cy="5569585"/>
                    </a:xfrm>
                    <a:prstGeom prst="rect">
                      <a:avLst/>
                    </a:prstGeom>
                  </pic:spPr>
                </pic:pic>
              </a:graphicData>
            </a:graphic>
          </wp:inline>
        </w:drawing>
      </w:r>
    </w:p>
    <w:p w14:paraId="091F084E" w14:textId="77777777" w:rsidR="00A41D68" w:rsidRDefault="00A41D68">
      <w:pPr>
        <w:spacing w:line="12501" w:lineRule="exact"/>
        <w:sectPr w:rsidR="00A41D68">
          <w:pgSz w:w="11906" w:h="16839"/>
          <w:pgMar w:top="1431" w:right="1480" w:bottom="0" w:left="1586" w:header="0" w:footer="0" w:gutter="0"/>
          <w:cols w:space="720"/>
        </w:sectPr>
      </w:pPr>
    </w:p>
    <w:p w14:paraId="068E3EA1" w14:textId="77777777" w:rsidR="00A41D68" w:rsidRDefault="00000000">
      <w:pPr>
        <w:spacing w:line="267" w:lineRule="auto"/>
        <w:rPr>
          <w:rFonts w:eastAsia="宋体"/>
          <w:lang w:eastAsia="zh-CN"/>
        </w:rPr>
      </w:pPr>
      <w:r>
        <w:rPr>
          <w:rFonts w:eastAsia="宋体" w:hint="eastAsia"/>
          <w:noProof/>
          <w:lang w:eastAsia="zh-CN"/>
        </w:rPr>
        <w:lastRenderedPageBreak/>
        <w:drawing>
          <wp:inline distT="0" distB="0" distL="114300" distR="114300" wp14:anchorId="721D545F" wp14:editId="6A3AB313">
            <wp:extent cx="7880985" cy="5574665"/>
            <wp:effectExtent l="0" t="0" r="6985" b="5715"/>
            <wp:docPr id="1" name="图片 1" descr="130121202于家乡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30121202于家乡02国土空间总体格局规划图"/>
                    <pic:cNvPicPr>
                      <a:picLocks noChangeAspect="1"/>
                    </pic:cNvPicPr>
                  </pic:nvPicPr>
                  <pic:blipFill>
                    <a:blip r:embed="rId7"/>
                    <a:stretch>
                      <a:fillRect/>
                    </a:stretch>
                  </pic:blipFill>
                  <pic:spPr>
                    <a:xfrm rot="16200000">
                      <a:off x="0" y="0"/>
                      <a:ext cx="7880985" cy="5574665"/>
                    </a:xfrm>
                    <a:prstGeom prst="rect">
                      <a:avLst/>
                    </a:prstGeom>
                  </pic:spPr>
                </pic:pic>
              </a:graphicData>
            </a:graphic>
          </wp:inline>
        </w:drawing>
      </w:r>
    </w:p>
    <w:p w14:paraId="1A055300" w14:textId="77777777" w:rsidR="00A41D68" w:rsidRDefault="00A41D68"/>
    <w:p w14:paraId="594DD66E" w14:textId="77777777" w:rsidR="00A41D68" w:rsidRDefault="00A41D68">
      <w:pPr>
        <w:spacing w:line="12501" w:lineRule="exact"/>
        <w:sectPr w:rsidR="00A41D68">
          <w:pgSz w:w="11906" w:h="16839"/>
          <w:pgMar w:top="1431" w:right="1480" w:bottom="0" w:left="1586" w:header="0" w:footer="0" w:gutter="0"/>
          <w:cols w:space="720"/>
        </w:sectPr>
      </w:pPr>
    </w:p>
    <w:p w14:paraId="1A2812FA" w14:textId="77777777" w:rsidR="00A41D68" w:rsidRDefault="00000000">
      <w:r>
        <w:rPr>
          <w:rFonts w:eastAsia="宋体" w:hint="eastAsia"/>
          <w:noProof/>
          <w:lang w:eastAsia="zh-CN"/>
        </w:rPr>
        <w:lastRenderedPageBreak/>
        <w:drawing>
          <wp:inline distT="0" distB="0" distL="114300" distR="114300" wp14:anchorId="68F4D5C3" wp14:editId="13B98F55">
            <wp:extent cx="7912735" cy="5596890"/>
            <wp:effectExtent l="0" t="0" r="3810" b="12065"/>
            <wp:docPr id="3" name="图片 3" descr="130121202于家乡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30121202于家乡10村庄布点规划图"/>
                    <pic:cNvPicPr>
                      <a:picLocks noChangeAspect="1"/>
                    </pic:cNvPicPr>
                  </pic:nvPicPr>
                  <pic:blipFill>
                    <a:blip r:embed="rId8"/>
                    <a:stretch>
                      <a:fillRect/>
                    </a:stretch>
                  </pic:blipFill>
                  <pic:spPr>
                    <a:xfrm rot="16200000">
                      <a:off x="0" y="0"/>
                      <a:ext cx="7912735" cy="5596890"/>
                    </a:xfrm>
                    <a:prstGeom prst="rect">
                      <a:avLst/>
                    </a:prstGeom>
                  </pic:spPr>
                </pic:pic>
              </a:graphicData>
            </a:graphic>
          </wp:inline>
        </w:drawing>
      </w:r>
    </w:p>
    <w:sectPr w:rsidR="00A41D68">
      <w:footerReference w:type="default" r:id="rId9"/>
      <w:pgSz w:w="11906" w:h="16839"/>
      <w:pgMar w:top="1431" w:right="1478" w:bottom="400" w:left="1586"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33A3A3" w14:textId="77777777" w:rsidR="008C0466" w:rsidRDefault="008C0466">
      <w:r>
        <w:separator/>
      </w:r>
    </w:p>
  </w:endnote>
  <w:endnote w:type="continuationSeparator" w:id="0">
    <w:p w14:paraId="5D956A4A" w14:textId="77777777" w:rsidR="008C0466" w:rsidRDefault="008C0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D796D" w14:textId="77777777" w:rsidR="00A41D68" w:rsidRDefault="00A41D68">
    <w:pPr>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98B9F0" w14:textId="77777777" w:rsidR="008C0466" w:rsidRDefault="008C0466">
      <w:r>
        <w:separator/>
      </w:r>
    </w:p>
  </w:footnote>
  <w:footnote w:type="continuationSeparator" w:id="0">
    <w:p w14:paraId="00F44230" w14:textId="77777777" w:rsidR="008C0466" w:rsidRDefault="008C04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spaceForUL/>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zZkMDI3MzZlMGJhYzUwZTQzNDUyMGFkZTYyYTM2MGUifQ=="/>
  </w:docVars>
  <w:rsids>
    <w:rsidRoot w:val="00A41D68"/>
    <w:rsid w:val="001170A0"/>
    <w:rsid w:val="008C0466"/>
    <w:rsid w:val="00A41D68"/>
    <w:rsid w:val="00D70E6B"/>
    <w:rsid w:val="2ED36989"/>
    <w:rsid w:val="41703956"/>
    <w:rsid w:val="64EF50C4"/>
    <w:rsid w:val="67325B5A"/>
    <w:rsid w:val="7CF720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DC8374"/>
  <w15:docId w15:val="{733E056C-EEA9-4B52-AEC8-184167F65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376">
    <w:lsdException w:name="Normal" w:semiHidden="1"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unhideWhenUsed="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semiHidden/>
    <w:qFormat/>
    <w:pPr>
      <w:kinsoku w:val="0"/>
      <w:autoSpaceDE w:val="0"/>
      <w:autoSpaceDN w:val="0"/>
      <w:adjustRightInd w:val="0"/>
      <w:snapToGrid w:val="0"/>
      <w:textAlignment w:val="baseline"/>
    </w:pPr>
    <w:rPr>
      <w:rFonts w:eastAsia="Arial"/>
      <w:snapToGrid w:val="0"/>
      <w:color w:val="000000"/>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rPr>
      <w:rFonts w:ascii="仿宋" w:eastAsia="仿宋" w:hAnsi="仿宋" w:cs="仿宋"/>
      <w:sz w:val="31"/>
      <w:szCs w:val="31"/>
    </w:rPr>
  </w:style>
  <w:style w:type="table" w:customStyle="1" w:styleId="TableNormal">
    <w:name w:val="Table Normal"/>
    <w:semiHidden/>
    <w:unhideWhenUsed/>
    <w:qFormat/>
    <w:tblPr>
      <w:tblCellMar>
        <w:top w:w="0" w:type="dxa"/>
        <w:left w:w="0" w:type="dxa"/>
        <w:bottom w:w="0" w:type="dxa"/>
        <w:right w:w="0" w:type="dxa"/>
      </w:tblCellMar>
    </w:tblPr>
  </w:style>
  <w:style w:type="paragraph" w:styleId="a4">
    <w:name w:val="header"/>
    <w:basedOn w:val="a"/>
    <w:link w:val="a5"/>
    <w:rsid w:val="00D70E6B"/>
    <w:pPr>
      <w:tabs>
        <w:tab w:val="center" w:pos="4153"/>
        <w:tab w:val="right" w:pos="8306"/>
      </w:tabs>
      <w:jc w:val="center"/>
    </w:pPr>
    <w:rPr>
      <w:sz w:val="18"/>
      <w:szCs w:val="18"/>
    </w:rPr>
  </w:style>
  <w:style w:type="character" w:customStyle="1" w:styleId="a5">
    <w:name w:val="页眉 字符"/>
    <w:basedOn w:val="a0"/>
    <w:link w:val="a4"/>
    <w:rsid w:val="00D70E6B"/>
    <w:rPr>
      <w:rFonts w:eastAsia="Arial"/>
      <w:snapToGrid w:val="0"/>
      <w:color w:val="000000"/>
      <w:sz w:val="18"/>
      <w:szCs w:val="18"/>
      <w:lang w:eastAsia="en-US"/>
    </w:rPr>
  </w:style>
  <w:style w:type="paragraph" w:styleId="a6">
    <w:name w:val="footer"/>
    <w:basedOn w:val="a"/>
    <w:link w:val="a7"/>
    <w:rsid w:val="00D70E6B"/>
    <w:pPr>
      <w:tabs>
        <w:tab w:val="center" w:pos="4153"/>
        <w:tab w:val="right" w:pos="8306"/>
      </w:tabs>
    </w:pPr>
    <w:rPr>
      <w:sz w:val="18"/>
      <w:szCs w:val="18"/>
    </w:rPr>
  </w:style>
  <w:style w:type="character" w:customStyle="1" w:styleId="a7">
    <w:name w:val="页脚 字符"/>
    <w:basedOn w:val="a0"/>
    <w:link w:val="a6"/>
    <w:rsid w:val="00D70E6B"/>
    <w:rPr>
      <w:rFonts w:eastAsia="Arial"/>
      <w:snapToGrid w:val="0"/>
      <w:color w:val="00000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1217</Words>
  <Characters>1278</Characters>
  <Application>Microsoft Office Word</Application>
  <DocSecurity>0</DocSecurity>
  <Lines>60</Lines>
  <Paragraphs>43</Paragraphs>
  <ScaleCrop>false</ScaleCrop>
  <Company/>
  <LinksUpToDate>false</LinksUpToDate>
  <CharactersWithSpaces>2452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pu hui</cp:lastModifiedBy>
  <cp:revision>2</cp:revision>
  <dcterms:created xsi:type="dcterms:W3CDTF">2026-02-24T07:38:00Z</dcterms:created>
  <dcterms:modified xsi:type="dcterms:W3CDTF">2026-02-24T07:38:00Z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2026-02-24T10:17:50Z</vt:filetime>
  </property>
  <property fmtid="{D5CDD505-2E9C-101B-9397-08002B2CF9AE}" pid="4" name="KSOProductBuildVer">
    <vt:lpwstr>2052-12.1.0.15374</vt:lpwstr>
  </property>
  <property fmtid="{D5CDD505-2E9C-101B-9397-08002B2CF9AE}" pid="5" name="ICV">
    <vt:lpwstr>986263E77E484729B2E949A432D4E0A8_13</vt:lpwstr>
  </property>
</Properties>
</file>