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eastAsia="zh-CN"/>
        </w:rPr>
        <w:t>五</w:t>
      </w:r>
      <w:r>
        <w:t>、</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1</w:t>
      </w:r>
    </w:p>
    <w:p>
      <w:pPr>
        <w:pStyle w:val="3"/>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fldChar w:fldCharType="end"/>
      </w:r>
      <w:r>
        <w:rPr>
          <w:rFonts w:hint="eastAsia"/>
          <w:lang w:val="en-US" w:eastAsia="zh-CN"/>
        </w:rPr>
        <w:t>35</w:t>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7</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9741788.64</w:t>
            </w:r>
          </w:p>
        </w:tc>
        <w:tc>
          <w:tcPr>
            <w:tcW w:w="4535" w:type="dxa"/>
            <w:vAlign w:val="center"/>
          </w:tcPr>
          <w:p>
            <w:pPr>
              <w:pStyle w:val="14"/>
            </w:pPr>
            <w:r>
              <w:t>一、一般公共服务支出</w:t>
            </w:r>
          </w:p>
        </w:tc>
        <w:tc>
          <w:tcPr>
            <w:tcW w:w="2126" w:type="dxa"/>
            <w:vAlign w:val="center"/>
          </w:tcPr>
          <w:p>
            <w:pPr>
              <w:pStyle w:val="13"/>
            </w:pPr>
            <w:r>
              <w:t>4483273.84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538410.30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321432.50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9741788.64</w:t>
            </w:r>
          </w:p>
        </w:tc>
        <w:tc>
          <w:tcPr>
            <w:tcW w:w="4535" w:type="dxa"/>
            <w:vAlign w:val="center"/>
          </w:tcPr>
          <w:p>
            <w:pPr>
              <w:pStyle w:val="16"/>
            </w:pPr>
            <w:r>
              <w:t>本年支出合计</w:t>
            </w:r>
          </w:p>
        </w:tc>
        <w:tc>
          <w:tcPr>
            <w:tcW w:w="2126" w:type="dxa"/>
            <w:vAlign w:val="center"/>
          </w:tcPr>
          <w:p>
            <w:pPr>
              <w:pStyle w:val="17"/>
            </w:pPr>
            <w:r>
              <w:t>9741788.64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9741788.64</w:t>
            </w:r>
          </w:p>
        </w:tc>
        <w:tc>
          <w:tcPr>
            <w:tcW w:w="4535" w:type="dxa"/>
            <w:vAlign w:val="center"/>
          </w:tcPr>
          <w:p>
            <w:pPr>
              <w:pStyle w:val="16"/>
            </w:pPr>
            <w:r>
              <w:t>支出总计</w:t>
            </w:r>
          </w:p>
        </w:tc>
        <w:tc>
          <w:tcPr>
            <w:tcW w:w="2126" w:type="dxa"/>
            <w:vAlign w:val="center"/>
          </w:tcPr>
          <w:p>
            <w:pPr>
              <w:pStyle w:val="17"/>
            </w:pPr>
            <w:r>
              <w:t>9741788.64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201001中共井陉县委办公室本级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9741788.64</w:t>
            </w:r>
          </w:p>
        </w:tc>
        <w:tc>
          <w:tcPr>
            <w:tcW w:w="1361" w:type="dxa"/>
            <w:vAlign w:val="center"/>
          </w:tcPr>
          <w:p>
            <w:pPr>
              <w:pStyle w:val="17"/>
            </w:pPr>
            <w:r>
              <w:t>4834262.80</w:t>
            </w:r>
          </w:p>
        </w:tc>
        <w:tc>
          <w:tcPr>
            <w:tcW w:w="1361" w:type="dxa"/>
            <w:vAlign w:val="center"/>
          </w:tcPr>
          <w:p>
            <w:pPr>
              <w:pStyle w:val="17"/>
            </w:pPr>
            <w:r>
              <w:t>4907525.84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3794248.00</w:t>
            </w:r>
          </w:p>
        </w:tc>
        <w:tc>
          <w:tcPr>
            <w:tcW w:w="1361" w:type="dxa"/>
            <w:vAlign w:val="center"/>
          </w:tcPr>
          <w:p>
            <w:pPr>
              <w:pStyle w:val="13"/>
            </w:pPr>
            <w:r>
              <w:t>3794248.00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538410.30</w:t>
            </w:r>
          </w:p>
        </w:tc>
        <w:tc>
          <w:tcPr>
            <w:tcW w:w="1361" w:type="dxa"/>
            <w:vAlign w:val="center"/>
          </w:tcPr>
          <w:p>
            <w:pPr>
              <w:pStyle w:val="13"/>
            </w:pPr>
            <w:r>
              <w:t>538410.30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524445.80</w:t>
            </w:r>
          </w:p>
        </w:tc>
        <w:tc>
          <w:tcPr>
            <w:tcW w:w="1361" w:type="dxa"/>
            <w:vAlign w:val="center"/>
          </w:tcPr>
          <w:p>
            <w:pPr>
              <w:pStyle w:val="13"/>
            </w:pPr>
            <w:r>
              <w:t>524445.80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125636.00</w:t>
            </w:r>
          </w:p>
        </w:tc>
        <w:tc>
          <w:tcPr>
            <w:tcW w:w="1361" w:type="dxa"/>
            <w:vAlign w:val="center"/>
          </w:tcPr>
          <w:p>
            <w:pPr>
              <w:pStyle w:val="13"/>
            </w:pPr>
            <w:r>
              <w:t>125636.00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398809.80</w:t>
            </w:r>
          </w:p>
        </w:tc>
        <w:tc>
          <w:tcPr>
            <w:tcW w:w="1361" w:type="dxa"/>
            <w:vAlign w:val="center"/>
          </w:tcPr>
          <w:p>
            <w:pPr>
              <w:pStyle w:val="13"/>
            </w:pPr>
            <w:r>
              <w:t>398809.80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9741788.64</w:t>
            </w:r>
          </w:p>
        </w:tc>
        <w:tc>
          <w:tcPr>
            <w:tcW w:w="3402" w:type="dxa"/>
            <w:vAlign w:val="center"/>
          </w:tcPr>
          <w:p>
            <w:pPr>
              <w:pStyle w:val="14"/>
            </w:pPr>
            <w:r>
              <w:t>一、一般公共服务支出</w:t>
            </w:r>
          </w:p>
        </w:tc>
        <w:tc>
          <w:tcPr>
            <w:tcW w:w="1474" w:type="dxa"/>
            <w:vAlign w:val="center"/>
          </w:tcPr>
          <w:p>
            <w:pPr>
              <w:pStyle w:val="13"/>
            </w:pPr>
            <w:r>
              <w:t>4483273.84</w:t>
            </w:r>
          </w:p>
        </w:tc>
        <w:tc>
          <w:tcPr>
            <w:tcW w:w="1474" w:type="dxa"/>
            <w:vAlign w:val="center"/>
          </w:tcPr>
          <w:p>
            <w:pPr>
              <w:pStyle w:val="13"/>
            </w:pPr>
            <w:r>
              <w:t>4483273.84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4218500.00</w:t>
            </w:r>
          </w:p>
        </w:tc>
        <w:tc>
          <w:tcPr>
            <w:tcW w:w="1474" w:type="dxa"/>
            <w:vAlign w:val="center"/>
          </w:tcPr>
          <w:p>
            <w:pPr>
              <w:pStyle w:val="13"/>
            </w:pPr>
            <w:r>
              <w:t>4218500.00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538410.30</w:t>
            </w:r>
          </w:p>
        </w:tc>
        <w:tc>
          <w:tcPr>
            <w:tcW w:w="1474" w:type="dxa"/>
            <w:vAlign w:val="center"/>
          </w:tcPr>
          <w:p>
            <w:pPr>
              <w:pStyle w:val="13"/>
            </w:pPr>
            <w:r>
              <w:t>538410.30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180172.00</w:t>
            </w:r>
          </w:p>
        </w:tc>
        <w:tc>
          <w:tcPr>
            <w:tcW w:w="1474" w:type="dxa"/>
            <w:vAlign w:val="center"/>
          </w:tcPr>
          <w:p>
            <w:pPr>
              <w:pStyle w:val="13"/>
            </w:pPr>
            <w:r>
              <w:t>180172.00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321432.50</w:t>
            </w:r>
          </w:p>
        </w:tc>
        <w:tc>
          <w:tcPr>
            <w:tcW w:w="1474" w:type="dxa"/>
            <w:vAlign w:val="center"/>
          </w:tcPr>
          <w:p>
            <w:pPr>
              <w:pStyle w:val="13"/>
            </w:pPr>
            <w:r>
              <w:t>321432.50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9741788.64</w:t>
            </w:r>
          </w:p>
        </w:tc>
        <w:tc>
          <w:tcPr>
            <w:tcW w:w="3402" w:type="dxa"/>
            <w:vAlign w:val="center"/>
          </w:tcPr>
          <w:p>
            <w:pPr>
              <w:pStyle w:val="16"/>
            </w:pPr>
            <w:r>
              <w:t>本年支出合计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9741788.64</w:t>
            </w:r>
          </w:p>
        </w:tc>
        <w:tc>
          <w:tcPr>
            <w:tcW w:w="3402" w:type="dxa"/>
            <w:vAlign w:val="center"/>
          </w:tcPr>
          <w:p>
            <w:pPr>
              <w:pStyle w:val="16"/>
            </w:pPr>
            <w:r>
              <w:t>支出总计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9741788.64</w:t>
            </w:r>
          </w:p>
        </w:tc>
        <w:tc>
          <w:tcPr>
            <w:tcW w:w="2551" w:type="dxa"/>
            <w:vAlign w:val="center"/>
          </w:tcPr>
          <w:p>
            <w:pPr>
              <w:pStyle w:val="17"/>
            </w:pPr>
            <w:r>
              <w:t>4834262.80</w:t>
            </w:r>
          </w:p>
        </w:tc>
        <w:tc>
          <w:tcPr>
            <w:tcW w:w="2551" w:type="dxa"/>
            <w:vAlign w:val="center"/>
          </w:tcPr>
          <w:p>
            <w:pPr>
              <w:pStyle w:val="17"/>
            </w:pPr>
            <w:r>
              <w:t>4907525.84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3794248.00</w:t>
            </w:r>
          </w:p>
        </w:tc>
        <w:tc>
          <w:tcPr>
            <w:tcW w:w="2551" w:type="dxa"/>
            <w:vAlign w:val="center"/>
          </w:tcPr>
          <w:p>
            <w:pPr>
              <w:pStyle w:val="13"/>
            </w:pPr>
            <w:r>
              <w:t>3794248.00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689025.84</w:t>
            </w:r>
          </w:p>
        </w:tc>
        <w:tc>
          <w:tcPr>
            <w:tcW w:w="2551" w:type="dxa"/>
            <w:vAlign w:val="center"/>
          </w:tcPr>
          <w:p>
            <w:pPr>
              <w:pStyle w:val="13"/>
            </w:pP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538410.30</w:t>
            </w:r>
          </w:p>
        </w:tc>
        <w:tc>
          <w:tcPr>
            <w:tcW w:w="2551" w:type="dxa"/>
            <w:vAlign w:val="center"/>
          </w:tcPr>
          <w:p>
            <w:pPr>
              <w:pStyle w:val="13"/>
            </w:pPr>
            <w:r>
              <w:t>538410.30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524445.80</w:t>
            </w:r>
          </w:p>
        </w:tc>
        <w:tc>
          <w:tcPr>
            <w:tcW w:w="2551" w:type="dxa"/>
            <w:vAlign w:val="center"/>
          </w:tcPr>
          <w:p>
            <w:pPr>
              <w:pStyle w:val="13"/>
            </w:pPr>
            <w:r>
              <w:t>524445.80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4834262.80</w:t>
            </w:r>
          </w:p>
        </w:tc>
        <w:tc>
          <w:tcPr>
            <w:tcW w:w="2551" w:type="dxa"/>
            <w:vAlign w:val="center"/>
          </w:tcPr>
          <w:p>
            <w:pPr>
              <w:pStyle w:val="17"/>
            </w:pPr>
            <w:r>
              <w:t>3860030.80</w:t>
            </w:r>
          </w:p>
        </w:tc>
        <w:tc>
          <w:tcPr>
            <w:tcW w:w="2551" w:type="dxa"/>
            <w:vAlign w:val="center"/>
          </w:tcPr>
          <w:p>
            <w:pPr>
              <w:pStyle w:val="17"/>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3734394.80</w:t>
            </w:r>
          </w:p>
        </w:tc>
        <w:tc>
          <w:tcPr>
            <w:tcW w:w="2551" w:type="dxa"/>
            <w:vAlign w:val="center"/>
          </w:tcPr>
          <w:p>
            <w:pPr>
              <w:pStyle w:val="13"/>
            </w:pPr>
            <w:r>
              <w:t>3734394.80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1358364.00</w:t>
            </w:r>
          </w:p>
        </w:tc>
        <w:tc>
          <w:tcPr>
            <w:tcW w:w="2551" w:type="dxa"/>
            <w:vAlign w:val="center"/>
          </w:tcPr>
          <w:p>
            <w:pPr>
              <w:pStyle w:val="13"/>
            </w:pPr>
            <w:r>
              <w:t>1358364.00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642891.00</w:t>
            </w:r>
          </w:p>
        </w:tc>
        <w:tc>
          <w:tcPr>
            <w:tcW w:w="2551" w:type="dxa"/>
            <w:vAlign w:val="center"/>
          </w:tcPr>
          <w:p>
            <w:pPr>
              <w:pStyle w:val="13"/>
            </w:pPr>
            <w:r>
              <w:t>642891.00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519650.00</w:t>
            </w:r>
          </w:p>
        </w:tc>
        <w:tc>
          <w:tcPr>
            <w:tcW w:w="2551" w:type="dxa"/>
            <w:vAlign w:val="center"/>
          </w:tcPr>
          <w:p>
            <w:pPr>
              <w:pStyle w:val="13"/>
            </w:pPr>
            <w:r>
              <w:t>519650.00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299111.00</w:t>
            </w:r>
          </w:p>
        </w:tc>
        <w:tc>
          <w:tcPr>
            <w:tcW w:w="2551" w:type="dxa"/>
            <w:vAlign w:val="center"/>
          </w:tcPr>
          <w:p>
            <w:pPr>
              <w:pStyle w:val="13"/>
            </w:pPr>
            <w:r>
              <w:t>299111.00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974232.00</w:t>
            </w:r>
          </w:p>
        </w:tc>
        <w:tc>
          <w:tcPr>
            <w:tcW w:w="2551" w:type="dxa"/>
            <w:vAlign w:val="center"/>
          </w:tcPr>
          <w:p>
            <w:pPr>
              <w:pStyle w:val="13"/>
            </w:pPr>
          </w:p>
        </w:tc>
        <w:tc>
          <w:tcPr>
            <w:tcW w:w="2551" w:type="dxa"/>
            <w:vAlign w:val="center"/>
          </w:tcPr>
          <w:p>
            <w:pPr>
              <w:pStyle w:val="13"/>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14900.00</w:t>
            </w:r>
          </w:p>
        </w:tc>
        <w:tc>
          <w:tcPr>
            <w:tcW w:w="2551" w:type="dxa"/>
            <w:vAlign w:val="center"/>
          </w:tcPr>
          <w:p>
            <w:pPr>
              <w:pStyle w:val="13"/>
            </w:pPr>
          </w:p>
        </w:tc>
        <w:tc>
          <w:tcPr>
            <w:tcW w:w="2551" w:type="dxa"/>
            <w:vAlign w:val="center"/>
          </w:tcPr>
          <w:p>
            <w:pPr>
              <w:pStyle w:val="13"/>
            </w:pPr>
            <w:r>
              <w:t>14900.00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14400.00</w:t>
            </w:r>
          </w:p>
        </w:tc>
        <w:tc>
          <w:tcPr>
            <w:tcW w:w="2551" w:type="dxa"/>
            <w:vAlign w:val="center"/>
          </w:tcPr>
          <w:p>
            <w:pPr>
              <w:pStyle w:val="13"/>
            </w:pPr>
          </w:p>
        </w:tc>
        <w:tc>
          <w:tcPr>
            <w:tcW w:w="2551" w:type="dxa"/>
            <w:vAlign w:val="center"/>
          </w:tcPr>
          <w:p>
            <w:pPr>
              <w:pStyle w:val="13"/>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5300.00</w:t>
            </w:r>
          </w:p>
        </w:tc>
        <w:tc>
          <w:tcPr>
            <w:tcW w:w="2551" w:type="dxa"/>
            <w:vAlign w:val="center"/>
          </w:tcPr>
          <w:p>
            <w:pPr>
              <w:pStyle w:val="13"/>
            </w:pPr>
          </w:p>
        </w:tc>
        <w:tc>
          <w:tcPr>
            <w:tcW w:w="2551" w:type="dxa"/>
            <w:vAlign w:val="center"/>
          </w:tcPr>
          <w:p>
            <w:pPr>
              <w:pStyle w:val="13"/>
            </w:pPr>
            <w:r>
              <w:t>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86200.00</w:t>
            </w:r>
          </w:p>
        </w:tc>
        <w:tc>
          <w:tcPr>
            <w:tcW w:w="2551" w:type="dxa"/>
            <w:vAlign w:val="center"/>
          </w:tcPr>
          <w:p>
            <w:pPr>
              <w:pStyle w:val="13"/>
            </w:pPr>
          </w:p>
        </w:tc>
        <w:tc>
          <w:tcPr>
            <w:tcW w:w="2551" w:type="dxa"/>
            <w:vAlign w:val="center"/>
          </w:tcPr>
          <w:p>
            <w:pPr>
              <w:pStyle w:val="13"/>
            </w:pPr>
            <w:r>
              <w:t>86200.00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423500.00</w:t>
            </w:r>
          </w:p>
        </w:tc>
        <w:tc>
          <w:tcPr>
            <w:tcW w:w="2551" w:type="dxa"/>
            <w:vAlign w:val="center"/>
          </w:tcPr>
          <w:p>
            <w:pPr>
              <w:pStyle w:val="13"/>
            </w:pPr>
          </w:p>
        </w:tc>
        <w:tc>
          <w:tcPr>
            <w:tcW w:w="2551" w:type="dxa"/>
            <w:vAlign w:val="center"/>
          </w:tcPr>
          <w:p>
            <w:pPr>
              <w:pStyle w:val="13"/>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50400.00</w:t>
            </w:r>
          </w:p>
        </w:tc>
        <w:tc>
          <w:tcPr>
            <w:tcW w:w="2551" w:type="dxa"/>
            <w:vAlign w:val="center"/>
          </w:tcPr>
          <w:p>
            <w:pPr>
              <w:pStyle w:val="13"/>
            </w:pPr>
          </w:p>
        </w:tc>
        <w:tc>
          <w:tcPr>
            <w:tcW w:w="2551" w:type="dxa"/>
            <w:vAlign w:val="center"/>
          </w:tcPr>
          <w:p>
            <w:pPr>
              <w:pStyle w:val="13"/>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195272.00</w:t>
            </w:r>
          </w:p>
        </w:tc>
        <w:tc>
          <w:tcPr>
            <w:tcW w:w="2551" w:type="dxa"/>
            <w:vAlign w:val="center"/>
          </w:tcPr>
          <w:p>
            <w:pPr>
              <w:pStyle w:val="13"/>
            </w:pPr>
          </w:p>
        </w:tc>
        <w:tc>
          <w:tcPr>
            <w:tcW w:w="2551" w:type="dxa"/>
            <w:vAlign w:val="center"/>
          </w:tcPr>
          <w:p>
            <w:pPr>
              <w:pStyle w:val="13"/>
            </w:pPr>
            <w:r>
              <w:t>195272.00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158760.00</w:t>
            </w:r>
          </w:p>
        </w:tc>
        <w:tc>
          <w:tcPr>
            <w:tcW w:w="2551" w:type="dxa"/>
            <w:vAlign w:val="center"/>
          </w:tcPr>
          <w:p>
            <w:pPr>
              <w:pStyle w:val="13"/>
            </w:pPr>
          </w:p>
        </w:tc>
        <w:tc>
          <w:tcPr>
            <w:tcW w:w="2551" w:type="dxa"/>
            <w:vAlign w:val="center"/>
          </w:tcPr>
          <w:p>
            <w:pPr>
              <w:pStyle w:val="13"/>
            </w:pPr>
            <w:r>
              <w:t>158760.00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110156.00</w:t>
            </w:r>
          </w:p>
        </w:tc>
        <w:tc>
          <w:tcPr>
            <w:tcW w:w="2551" w:type="dxa"/>
            <w:vAlign w:val="center"/>
          </w:tcPr>
          <w:p>
            <w:pPr>
              <w:pStyle w:val="13"/>
            </w:pPr>
            <w:r>
              <w:t>110156.00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15480.00</w:t>
            </w:r>
          </w:p>
        </w:tc>
        <w:tc>
          <w:tcPr>
            <w:tcW w:w="2551" w:type="dxa"/>
            <w:vAlign w:val="center"/>
          </w:tcPr>
          <w:p>
            <w:pPr>
              <w:pStyle w:val="13"/>
            </w:pPr>
            <w:r>
              <w:t>15480.00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618772.00</w:t>
            </w:r>
          </w:p>
        </w:tc>
        <w:tc>
          <w:tcPr>
            <w:tcW w:w="2381" w:type="dxa"/>
            <w:vAlign w:val="center"/>
          </w:tcPr>
          <w:p>
            <w:pPr>
              <w:pStyle w:val="17"/>
            </w:pPr>
            <w:r>
              <w:t>618772.00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618772.00</w:t>
            </w:r>
          </w:p>
        </w:tc>
        <w:tc>
          <w:tcPr>
            <w:tcW w:w="2381" w:type="dxa"/>
            <w:vAlign w:val="center"/>
          </w:tcPr>
          <w:p>
            <w:pPr>
              <w:pStyle w:val="13"/>
            </w:pPr>
            <w:r>
              <w:t>618772.00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423500.00</w:t>
            </w:r>
          </w:p>
        </w:tc>
        <w:tc>
          <w:tcPr>
            <w:tcW w:w="2381" w:type="dxa"/>
            <w:vAlign w:val="center"/>
          </w:tcPr>
          <w:p>
            <w:pPr>
              <w:pStyle w:val="13"/>
            </w:pPr>
            <w:r>
              <w:t>423500.00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一、负责推动党中央和省、市、县委决算布置的落实，按照县委要求协调有关方面开展工作，承担县委运行保障具体。</w:t>
      </w:r>
    </w:p>
    <w:p>
      <w:pPr>
        <w:pStyle w:val="27"/>
      </w:pPr>
      <w:r>
        <w:t>二、负责县委和县委办公室文件、县委领导讲话的起草、修改等工作。</w:t>
      </w:r>
    </w:p>
    <w:p>
      <w:pPr>
        <w:pStyle w:val="27"/>
      </w:pPr>
      <w:r>
        <w:t>三、围绕党中央和省、市、县委总体工作部署开展调查研究，收集和处理信息，反映动态；围绕县委中心工作组织力量对重大问题进行调查研究，提出相应对策，代县委提供参考；负责社情民意的搜集、整理和编报工作。</w:t>
      </w:r>
    </w:p>
    <w:p>
      <w:pPr>
        <w:pStyle w:val="27"/>
      </w:pPr>
      <w:r>
        <w:t>四、负责县委全会、县委常委会和县委其他重要会议的会务工作；负责县委领导参加重大活动和日常工作活动的组织安排；承担县委值班工作；负责编写县委大事记。</w:t>
      </w:r>
    </w:p>
    <w:p>
      <w:pPr>
        <w:pStyle w:val="27"/>
      </w:pPr>
      <w:r>
        <w:t>五、承担县委履行全面从严治党主体责任相关工作的谋划、部署、督导、推动和落实；负责统筹协调和督促指导全县党务公开工作。</w:t>
      </w:r>
    </w:p>
    <w:p>
      <w:pPr>
        <w:pStyle w:val="27"/>
      </w:pPr>
      <w:r>
        <w:t>六、承担县委全面深化改革委员会日常工作，完成县委全面深化改革委员会交办的其他事项。。</w:t>
      </w:r>
    </w:p>
    <w:p>
      <w:pPr>
        <w:pStyle w:val="27"/>
      </w:pPr>
      <w:r>
        <w:t>七、负责县委日常文书处理；负责整理县委常委文件和县委办公室代县委行文的审核工作；负责县委制定规范性文件的服务工作。</w:t>
      </w:r>
    </w:p>
    <w:p>
      <w:pPr>
        <w:pStyle w:val="27"/>
      </w:pPr>
      <w:r>
        <w:t>八、负责全县密码通信和密码管理；负责市委、市政府和全县党政军领导机关及要害部门的核心机密电文、信件的传递工作。</w:t>
      </w:r>
    </w:p>
    <w:p>
      <w:pPr>
        <w:pStyle w:val="27"/>
      </w:pPr>
      <w:r>
        <w:t>九、负责统筹协调县委重大决策部署的督查检查工作，对中央和省、市县委的重大决策、重要工作部署、重要会议议定事项进行督导落实和反馈；对上级主要领导有关批示进行督办落实和反馈。</w:t>
      </w:r>
    </w:p>
    <w:p>
      <w:pPr>
        <w:pStyle w:val="27"/>
      </w:pPr>
      <w:r>
        <w:t>十、贯彻落实上级关于国家安全工作。</w:t>
      </w:r>
    </w:p>
    <w:p>
      <w:pPr>
        <w:pStyle w:val="27"/>
      </w:pPr>
      <w:r>
        <w:t>十一、负责全县档案事业宏观管理和执法复议、监督指导等工作。</w:t>
      </w:r>
    </w:p>
    <w:p>
      <w:pPr>
        <w:pStyle w:val="27"/>
      </w:pPr>
      <w:r>
        <w:t>十二、负责县委离退休干部职工的服务工作。</w:t>
      </w:r>
    </w:p>
    <w:p>
      <w:pPr>
        <w:pStyle w:val="27"/>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中共井陉县委办公室本级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反映本单位当年全部收入。2026年预算收入9741788.64元，其中：一般公共预算收入9741788.64元，基金预算收入0.00元，国有资本经营预算收入0.00元，财政专户核拨收入0.00元，单位资金收入0.00元，上年结转结余0.00元。</w:t>
      </w:r>
    </w:p>
    <w:p>
      <w:pPr>
        <w:pStyle w:val="28"/>
      </w:pPr>
      <w:r>
        <w:t>2、支出说明</w:t>
      </w:r>
    </w:p>
    <w:p>
      <w:pPr>
        <w:pStyle w:val="28"/>
      </w:pPr>
      <w:r>
        <w:t>收支预算总表支出栏、基本支出表、项目支出表按经济分类和支出功能分类科目编制，反映中共井陉县委办公室本级年度单位预算中支出预算的总体情况。2026年支出预算9741788.64元，其中基本支出4834262.80元，包括人员经费3860030.80元和日常公用经费974232.00元；项目支出4907525.84元，主要为1、“市县乡”应急值守视频平台服务费20</w:t>
      </w:r>
      <w:r>
        <w:rPr>
          <w:rFonts w:hint="eastAsia"/>
          <w:lang w:val="en-US" w:eastAsia="zh-CN"/>
        </w:rPr>
        <w:t>0000</w:t>
      </w:r>
      <w:r>
        <w:t>元；2、电子政务内网二期线路租用经费186</w:t>
      </w:r>
      <w:r>
        <w:rPr>
          <w:rFonts w:hint="eastAsia"/>
          <w:lang w:val="en-US" w:eastAsia="zh-CN"/>
        </w:rPr>
        <w:t>000</w:t>
      </w:r>
      <w:r>
        <w:t>元；3、密码通讯网络及电子政务网运维费3995</w:t>
      </w:r>
      <w:r>
        <w:rPr>
          <w:rFonts w:hint="eastAsia"/>
          <w:lang w:val="en-US" w:eastAsia="zh-CN"/>
        </w:rPr>
        <w:t>00</w:t>
      </w:r>
      <w:r>
        <w:t>元；4、三干会经费6</w:t>
      </w:r>
      <w:r>
        <w:rPr>
          <w:rFonts w:hint="eastAsia"/>
          <w:lang w:val="en-US" w:eastAsia="zh-CN"/>
        </w:rPr>
        <w:t>0000</w:t>
      </w:r>
      <w:r>
        <w:t>元；5、县委大院机关网络宽带经费72</w:t>
      </w:r>
      <w:r>
        <w:rPr>
          <w:rFonts w:hint="eastAsia"/>
          <w:lang w:val="en-US" w:eastAsia="zh-CN"/>
        </w:rPr>
        <w:t>00</w:t>
      </w:r>
      <w:r>
        <w:t>元；6、值班室音视频指挥调度系统服务费45</w:t>
      </w:r>
      <w:r>
        <w:rPr>
          <w:rFonts w:hint="eastAsia"/>
          <w:lang w:val="en-US" w:eastAsia="zh-CN"/>
        </w:rPr>
        <w:t>0000</w:t>
      </w:r>
      <w:r>
        <w:t>元；7、中办通讯征订经费24</w:t>
      </w:r>
      <w:r>
        <w:rPr>
          <w:rFonts w:hint="eastAsia"/>
          <w:lang w:val="en-US" w:eastAsia="zh-CN"/>
        </w:rPr>
        <w:t>000</w:t>
      </w:r>
      <w:r>
        <w:t>元；8、机要主渠道设备升级工程所需资金98103元；9、国产电脑升级工程资金215</w:t>
      </w:r>
      <w:r>
        <w:rPr>
          <w:rFonts w:hint="eastAsia"/>
          <w:lang w:val="en-US" w:eastAsia="zh-CN"/>
        </w:rPr>
        <w:t>0000</w:t>
      </w:r>
      <w:r>
        <w:t>元；10、党政专用电视会议系统建设经费100</w:t>
      </w:r>
      <w:r>
        <w:rPr>
          <w:rFonts w:hint="eastAsia"/>
          <w:lang w:val="en-US" w:eastAsia="zh-CN"/>
        </w:rPr>
        <w:t>0000</w:t>
      </w:r>
      <w:r>
        <w:t>元；11、机要文电系统升级和配套设备换装46</w:t>
      </w:r>
      <w:r>
        <w:rPr>
          <w:rFonts w:hint="eastAsia"/>
          <w:lang w:val="en-US" w:eastAsia="zh-CN"/>
        </w:rPr>
        <w:t>000</w:t>
      </w:r>
      <w:r>
        <w:t>元；12、安全套件软件升级费用12</w:t>
      </w:r>
      <w:r>
        <w:rPr>
          <w:rFonts w:hint="eastAsia"/>
          <w:lang w:val="en-US" w:eastAsia="zh-CN"/>
        </w:rPr>
        <w:t>0000</w:t>
      </w:r>
      <w:r>
        <w:t>元；13、井陉县县委办2026年劳务派遣人员经费506922</w:t>
      </w:r>
      <w:r>
        <w:rPr>
          <w:rFonts w:hint="eastAsia"/>
          <w:lang w:val="en-US" w:eastAsia="zh-CN"/>
        </w:rPr>
        <w:t>.</w:t>
      </w:r>
      <w:r>
        <w:t>84元。；预计下年使用的单位资金结余0.00元。委托业务费共计安排0.00元，主要用于因技术原因确需对外委托的辅助性工作和确有必要对外委托开展咨询、评审、规划等工作。</w:t>
      </w:r>
    </w:p>
    <w:p>
      <w:pPr>
        <w:pStyle w:val="28"/>
      </w:pPr>
      <w:r>
        <w:t>3、比上年增减情况</w:t>
      </w:r>
    </w:p>
    <w:p>
      <w:pPr>
        <w:pStyle w:val="28"/>
      </w:pPr>
      <w:r>
        <w:t>2026年预算收支安排9741788.64元，较2025年预算增加23169.10元，其中：基本支出增加80050.10元，主要为人员调入，劳务派遣人员增加，工资及保险增加。项目支出减少56881.00元，主要为党政专用电视会议系统预算减少375</w:t>
      </w:r>
      <w:r>
        <w:rPr>
          <w:rFonts w:hint="eastAsia"/>
          <w:lang w:val="en-US" w:eastAsia="zh-CN"/>
        </w:rPr>
        <w:t>00</w:t>
      </w:r>
      <w:r>
        <w:t>万元、2025年度考察相关经费项目减少24772万元、国产电脑升级工程</w:t>
      </w:r>
      <w:r>
        <w:rPr>
          <w:rFonts w:hint="eastAsia"/>
          <w:lang w:eastAsia="zh-CN"/>
        </w:rPr>
        <w:t>资金</w:t>
      </w:r>
      <w:r>
        <w:t>增加15</w:t>
      </w:r>
      <w:r>
        <w:rPr>
          <w:rFonts w:hint="eastAsia"/>
          <w:lang w:val="en-US" w:eastAsia="zh-CN"/>
        </w:rPr>
        <w:t>0000</w:t>
      </w:r>
      <w:r>
        <w:t>元等，因此项目总预算减少56881元。。预计下年使用的单位资金结余增加0.00元。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2026年，我单位机关运行经费共计安排974232.00元，主要用于日常维修、办公用房水电费、办公用房取暖费、办公用房物业管理费等日常运行支出。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618772.00元，其中因公出国（境）费0.00元；公务用车购置及运维费195272.00元（其中：公务用车购置费为0.00元，公务用车运维费195272.00元)；公务接待费423500.00元。与2025年相比减少32228.00元，增减变化的主要原因是按照政府“过紧日子”要求，压减三公经费支出。</w:t>
      </w:r>
    </w:p>
    <w:p>
      <w:pPr>
        <w:spacing w:before="10" w:after="10" w:line="240" w:lineRule="auto"/>
        <w:ind w:firstLine="640"/>
        <w:jc w:val="left"/>
        <w:outlineLvl w:val="5"/>
        <w:rPr>
          <w:rFonts w:hint="eastAsia" w:eastAsia="黑体"/>
          <w:lang w:val="en-US"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val="en-US" w:eastAsia="zh-CN"/>
        </w:rPr>
        <w:t>.</w:t>
      </w:r>
    </w:p>
    <w:p>
      <w:pPr>
        <w:spacing w:before="0" w:after="0"/>
        <w:ind w:firstLine="560"/>
        <w:jc w:val="left"/>
        <w:outlineLvl w:val="9"/>
      </w:pPr>
      <w:r>
        <w:rPr>
          <w:rFonts w:ascii="方正仿宋_GBK" w:hAnsi="方正仿宋_GBK" w:eastAsia="方正仿宋_GBK" w:cs="方正仿宋_GBK"/>
          <w:b/>
          <w:color w:val="000000"/>
          <w:sz w:val="28"/>
        </w:rPr>
        <w:t>1、2026年安全套件软件升级费用绩效目标表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13012126P001122100335</w:t>
            </w:r>
          </w:p>
        </w:tc>
        <w:tc>
          <w:tcPr>
            <w:tcW w:w="2835" w:type="dxa"/>
            <w:vAlign w:val="center"/>
          </w:tcPr>
          <w:p>
            <w:pPr>
              <w:pStyle w:val="12"/>
            </w:pPr>
            <w:r>
              <w:t>项目名称</w:t>
            </w:r>
          </w:p>
        </w:tc>
        <w:tc>
          <w:tcPr>
            <w:tcW w:w="6095" w:type="dxa"/>
            <w:gridSpan w:val="3"/>
            <w:vAlign w:val="center"/>
          </w:tcPr>
          <w:p>
            <w:pPr>
              <w:pStyle w:val="14"/>
            </w:pPr>
            <w:r>
              <w:t>2026年安全套件软件升级费用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通过购置安全套件软件升级，保证电子政务内网安全运行，达到保护网络安全的效果。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1.通过购置安全套件软件升级，保证电子政务内网安全运行，达到保护网络安全的效果。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设备购置及时完成率</w:t>
            </w:r>
          </w:p>
        </w:tc>
        <w:tc>
          <w:tcPr>
            <w:tcW w:w="5386" w:type="dxa"/>
            <w:vAlign w:val="center"/>
          </w:tcPr>
          <w:p>
            <w:pPr>
              <w:pStyle w:val="14"/>
            </w:pPr>
            <w:r>
              <w:t>设备购置及时完成率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12万元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2、2026年党政专用电视会议系统建设经费绩效目标表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13012126P00112210031X</w:t>
            </w:r>
          </w:p>
        </w:tc>
        <w:tc>
          <w:tcPr>
            <w:tcW w:w="2835" w:type="dxa"/>
            <w:vAlign w:val="center"/>
          </w:tcPr>
          <w:p>
            <w:pPr>
              <w:pStyle w:val="12"/>
            </w:pPr>
            <w:r>
              <w:t>项目名称</w:t>
            </w:r>
          </w:p>
        </w:tc>
        <w:tc>
          <w:tcPr>
            <w:tcW w:w="6095" w:type="dxa"/>
            <w:gridSpan w:val="3"/>
            <w:vAlign w:val="center"/>
          </w:tcPr>
          <w:p>
            <w:pPr>
              <w:pStyle w:val="14"/>
            </w:pPr>
            <w:r>
              <w:t>2026年党政专用电视会议系统建设经费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通过建设党政专用电视会议系统，保证系统正常运行，达到提升省市县通信和接收文件能力的效果。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1.通过建设党政专用电视会议系统，保证系统正常运行，达到提升省市县通信和接收文件能力的效果。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120万元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≥5年</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3、2026年电子政务内网二期线路租用经费绩效目标表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13012126P00112210027P</w:t>
            </w:r>
          </w:p>
        </w:tc>
        <w:tc>
          <w:tcPr>
            <w:tcW w:w="2835" w:type="dxa"/>
            <w:vAlign w:val="center"/>
          </w:tcPr>
          <w:p>
            <w:pPr>
              <w:pStyle w:val="12"/>
            </w:pPr>
            <w:r>
              <w:t>项目名称</w:t>
            </w:r>
          </w:p>
        </w:tc>
        <w:tc>
          <w:tcPr>
            <w:tcW w:w="6095" w:type="dxa"/>
            <w:gridSpan w:val="3"/>
            <w:vAlign w:val="center"/>
          </w:tcPr>
          <w:p>
            <w:pPr>
              <w:pStyle w:val="14"/>
            </w:pPr>
            <w:r>
              <w:t>2026年电子政务内网二期线路租用经费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186000.00</w:t>
            </w:r>
          </w:p>
        </w:tc>
        <w:tc>
          <w:tcPr>
            <w:tcW w:w="2835" w:type="dxa"/>
            <w:vAlign w:val="center"/>
          </w:tcPr>
          <w:p>
            <w:pPr>
              <w:pStyle w:val="12"/>
            </w:pPr>
            <w:r>
              <w:t>其中：财政    资金</w:t>
            </w:r>
          </w:p>
        </w:tc>
        <w:tc>
          <w:tcPr>
            <w:tcW w:w="2551" w:type="dxa"/>
            <w:vAlign w:val="center"/>
          </w:tcPr>
          <w:p>
            <w:pPr>
              <w:pStyle w:val="14"/>
            </w:pPr>
            <w:r>
              <w:t>186000.00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通过建设电子政务内网二期线路，保证系统正常运行，提高信息安全能力，确保市县乡各</w:t>
            </w:r>
            <w:r>
              <w:rPr>
                <w:rFonts w:hint="eastAsia"/>
                <w:lang w:eastAsia="zh-CN"/>
              </w:rPr>
              <w:t>单位</w:t>
            </w:r>
            <w:r>
              <w:t>间正常联系的效果。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1.通过建设电子政务内网二期线路，保证系统正常运行，提高信息安全能力，确保市县乡各</w:t>
            </w:r>
            <w:r>
              <w:rPr>
                <w:rFonts w:hint="eastAsia"/>
                <w:lang w:eastAsia="zh-CN"/>
              </w:rPr>
              <w:t>单位</w:t>
            </w:r>
            <w:r>
              <w:t>间正常联系的效果。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租用线路数量</w:t>
            </w:r>
          </w:p>
        </w:tc>
        <w:tc>
          <w:tcPr>
            <w:tcW w:w="5386" w:type="dxa"/>
            <w:vAlign w:val="center"/>
          </w:tcPr>
          <w:p>
            <w:pPr>
              <w:pStyle w:val="14"/>
            </w:pPr>
            <w:r>
              <w:t>租用电子政务内网线路数量</w:t>
            </w:r>
          </w:p>
        </w:tc>
        <w:tc>
          <w:tcPr>
            <w:tcW w:w="2268" w:type="dxa"/>
            <w:vAlign w:val="center"/>
          </w:tcPr>
          <w:p>
            <w:pPr>
              <w:pStyle w:val="14"/>
            </w:pPr>
            <w:r>
              <w:t>1条</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租用线路月均成本</w:t>
            </w:r>
          </w:p>
        </w:tc>
        <w:tc>
          <w:tcPr>
            <w:tcW w:w="5386" w:type="dxa"/>
            <w:vAlign w:val="center"/>
          </w:tcPr>
          <w:p>
            <w:pPr>
              <w:pStyle w:val="14"/>
            </w:pPr>
            <w:r>
              <w:t>租用线路月均成本情况</w:t>
            </w:r>
          </w:p>
        </w:tc>
        <w:tc>
          <w:tcPr>
            <w:tcW w:w="2268" w:type="dxa"/>
            <w:vAlign w:val="center"/>
          </w:tcPr>
          <w:p>
            <w:pPr>
              <w:pStyle w:val="14"/>
            </w:pPr>
            <w:r>
              <w:t>500元/条/月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租用线路年限</w:t>
            </w:r>
          </w:p>
        </w:tc>
        <w:tc>
          <w:tcPr>
            <w:tcW w:w="5386" w:type="dxa"/>
            <w:vAlign w:val="center"/>
          </w:tcPr>
          <w:p>
            <w:pPr>
              <w:pStyle w:val="14"/>
            </w:pPr>
            <w:r>
              <w:t>租用线路年限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4、2026年国产电脑升级工程资金绩效目标表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13012126P00113910002W</w:t>
            </w:r>
          </w:p>
        </w:tc>
        <w:tc>
          <w:tcPr>
            <w:tcW w:w="2835" w:type="dxa"/>
            <w:vAlign w:val="center"/>
          </w:tcPr>
          <w:p>
            <w:pPr>
              <w:pStyle w:val="12"/>
            </w:pPr>
            <w:r>
              <w:t>项目名称</w:t>
            </w:r>
          </w:p>
        </w:tc>
        <w:tc>
          <w:tcPr>
            <w:tcW w:w="6095" w:type="dxa"/>
            <w:gridSpan w:val="3"/>
            <w:vAlign w:val="center"/>
          </w:tcPr>
          <w:p>
            <w:pPr>
              <w:pStyle w:val="14"/>
            </w:pPr>
            <w:r>
              <w:t>2026年国产电脑升级工程资金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2150000.00</w:t>
            </w:r>
          </w:p>
        </w:tc>
        <w:tc>
          <w:tcPr>
            <w:tcW w:w="2835" w:type="dxa"/>
            <w:vAlign w:val="center"/>
          </w:tcPr>
          <w:p>
            <w:pPr>
              <w:pStyle w:val="12"/>
            </w:pPr>
            <w:r>
              <w:t>其中：财政    资金</w:t>
            </w:r>
          </w:p>
        </w:tc>
        <w:tc>
          <w:tcPr>
            <w:tcW w:w="2551" w:type="dxa"/>
            <w:vAlign w:val="center"/>
          </w:tcPr>
          <w:p>
            <w:pPr>
              <w:pStyle w:val="14"/>
            </w:pPr>
            <w:r>
              <w:t>2150000.00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通过国产电脑升级工程，保证各单位电脑安全正常运行，达到各单位电脑国产化的效果。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1.通过国产电脑升级工程，保证各单位电脑安全正常运行，达到各单位电脑国产化的效果。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购置相关设备数量</w:t>
            </w:r>
          </w:p>
        </w:tc>
        <w:tc>
          <w:tcPr>
            <w:tcW w:w="5386" w:type="dxa"/>
            <w:vAlign w:val="center"/>
          </w:tcPr>
          <w:p>
            <w:pPr>
              <w:pStyle w:val="14"/>
            </w:pPr>
            <w:r>
              <w:t>购置相关设备数量</w:t>
            </w:r>
          </w:p>
        </w:tc>
        <w:tc>
          <w:tcPr>
            <w:tcW w:w="2268" w:type="dxa"/>
            <w:vAlign w:val="center"/>
          </w:tcPr>
          <w:p>
            <w:pPr>
              <w:pStyle w:val="14"/>
            </w:pPr>
            <w:r>
              <w:t>498台</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相关设备质量合格率</w:t>
            </w:r>
          </w:p>
        </w:tc>
        <w:tc>
          <w:tcPr>
            <w:tcW w:w="5386" w:type="dxa"/>
            <w:vAlign w:val="center"/>
          </w:tcPr>
          <w:p>
            <w:pPr>
              <w:pStyle w:val="14"/>
            </w:pPr>
            <w:r>
              <w:t>购置相关设备质量</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购置设备完成时间</w:t>
            </w:r>
          </w:p>
        </w:tc>
        <w:tc>
          <w:tcPr>
            <w:tcW w:w="2268" w:type="dxa"/>
            <w:vAlign w:val="center"/>
          </w:tcPr>
          <w:p>
            <w:pPr>
              <w:pStyle w:val="14"/>
            </w:pPr>
            <w:r>
              <w: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购置设备成本</w:t>
            </w:r>
          </w:p>
        </w:tc>
        <w:tc>
          <w:tcPr>
            <w:tcW w:w="2268" w:type="dxa"/>
            <w:vAlign w:val="center"/>
          </w:tcPr>
          <w:p>
            <w:pPr>
              <w:pStyle w:val="14"/>
            </w:pPr>
            <w:r>
              <w:t>≤215万元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5、2026年机要文电系统升级和配套设备换装绩效目标表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13012126P00112210032H</w:t>
            </w:r>
          </w:p>
        </w:tc>
        <w:tc>
          <w:tcPr>
            <w:tcW w:w="2835" w:type="dxa"/>
            <w:vAlign w:val="center"/>
          </w:tcPr>
          <w:p>
            <w:pPr>
              <w:pStyle w:val="12"/>
            </w:pPr>
            <w:r>
              <w:t>项目名称</w:t>
            </w:r>
          </w:p>
        </w:tc>
        <w:tc>
          <w:tcPr>
            <w:tcW w:w="6095" w:type="dxa"/>
            <w:gridSpan w:val="3"/>
            <w:vAlign w:val="center"/>
          </w:tcPr>
          <w:p>
            <w:pPr>
              <w:pStyle w:val="14"/>
            </w:pPr>
            <w:r>
              <w:t>2026年机要文电系统升级和配套设备换装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46000.00</w:t>
            </w:r>
          </w:p>
        </w:tc>
        <w:tc>
          <w:tcPr>
            <w:tcW w:w="2835" w:type="dxa"/>
            <w:vAlign w:val="center"/>
          </w:tcPr>
          <w:p>
            <w:pPr>
              <w:pStyle w:val="12"/>
            </w:pPr>
            <w:r>
              <w:t>其中：财政    资金</w:t>
            </w:r>
          </w:p>
        </w:tc>
        <w:tc>
          <w:tcPr>
            <w:tcW w:w="2551" w:type="dxa"/>
            <w:vAlign w:val="center"/>
          </w:tcPr>
          <w:p>
            <w:pPr>
              <w:pStyle w:val="14"/>
            </w:pPr>
            <w:r>
              <w:t>46000.00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通过机要文电系统升级和配套设备换装，保证系统正常运行，达到提升省市县通信和接收文件能力的效果。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1.通过机要文电系统升级和配套设备换装，保证系统正常运行，达到提升省市县通信和接收文件能力的效果。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4.6万元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≥5使用年限</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6、2026年机要主渠道设备升级工程所需资金绩效目标表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13012126P00112210030A</w:t>
            </w:r>
          </w:p>
        </w:tc>
        <w:tc>
          <w:tcPr>
            <w:tcW w:w="2835" w:type="dxa"/>
            <w:vAlign w:val="center"/>
          </w:tcPr>
          <w:p>
            <w:pPr>
              <w:pStyle w:val="12"/>
            </w:pPr>
            <w:r>
              <w:t>项目名称</w:t>
            </w:r>
          </w:p>
        </w:tc>
        <w:tc>
          <w:tcPr>
            <w:tcW w:w="6095" w:type="dxa"/>
            <w:gridSpan w:val="3"/>
            <w:vAlign w:val="center"/>
          </w:tcPr>
          <w:p>
            <w:pPr>
              <w:pStyle w:val="14"/>
            </w:pPr>
            <w:r>
              <w:t>2026年机要主渠道设备升级工程所需资金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98103.00</w:t>
            </w:r>
          </w:p>
        </w:tc>
        <w:tc>
          <w:tcPr>
            <w:tcW w:w="2835" w:type="dxa"/>
            <w:vAlign w:val="center"/>
          </w:tcPr>
          <w:p>
            <w:pPr>
              <w:pStyle w:val="12"/>
            </w:pPr>
            <w:r>
              <w:t>其中：财政    资金</w:t>
            </w:r>
          </w:p>
        </w:tc>
        <w:tc>
          <w:tcPr>
            <w:tcW w:w="2551" w:type="dxa"/>
            <w:vAlign w:val="center"/>
          </w:tcPr>
          <w:p>
            <w:pPr>
              <w:pStyle w:val="14"/>
            </w:pPr>
            <w:r>
              <w:t>98103.00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通过机要主渠道设备升级工程，保证系统正常运行，达到机要主渠道设备升级的效果。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1.通过机要主渠道设备升级工程，保证系统正常运行，达到机要主渠道设备升级的效果。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&lt;12月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9.81万元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7、2026年密码通讯网络及电子政务网运维费绩效目标表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13012126P001138100027</w:t>
            </w:r>
          </w:p>
        </w:tc>
        <w:tc>
          <w:tcPr>
            <w:tcW w:w="2835" w:type="dxa"/>
            <w:vAlign w:val="center"/>
          </w:tcPr>
          <w:p>
            <w:pPr>
              <w:pStyle w:val="12"/>
            </w:pPr>
            <w:r>
              <w:t>项目名称</w:t>
            </w:r>
          </w:p>
        </w:tc>
        <w:tc>
          <w:tcPr>
            <w:tcW w:w="6095" w:type="dxa"/>
            <w:gridSpan w:val="3"/>
            <w:vAlign w:val="center"/>
          </w:tcPr>
          <w:p>
            <w:pPr>
              <w:pStyle w:val="14"/>
            </w:pPr>
            <w:r>
              <w:t>2026年密码通讯网络及电子政务网运维费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399500.00</w:t>
            </w:r>
          </w:p>
        </w:tc>
        <w:tc>
          <w:tcPr>
            <w:tcW w:w="2835" w:type="dxa"/>
            <w:vAlign w:val="center"/>
          </w:tcPr>
          <w:p>
            <w:pPr>
              <w:pStyle w:val="12"/>
            </w:pPr>
            <w:r>
              <w:t>其中：财政    资金</w:t>
            </w:r>
          </w:p>
        </w:tc>
        <w:tc>
          <w:tcPr>
            <w:tcW w:w="2551" w:type="dxa"/>
            <w:vAlign w:val="center"/>
          </w:tcPr>
          <w:p>
            <w:pPr>
              <w:pStyle w:val="14"/>
            </w:pPr>
            <w:r>
              <w:t>399500.00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通过维护密码通讯网络及电子政务网，保证系统正常运行，达到全县网络安全、高效正常运行的效果。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1.通过维护密码通讯网络及电子政务网，保证系统正常运行，达到全县网络安全、高效正常运行的效果。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购置办公用品批次</w:t>
            </w:r>
          </w:p>
        </w:tc>
        <w:tc>
          <w:tcPr>
            <w:tcW w:w="5386" w:type="dxa"/>
            <w:vAlign w:val="center"/>
          </w:tcPr>
          <w:p>
            <w:pPr>
              <w:pStyle w:val="14"/>
            </w:pPr>
            <w:r>
              <w:t>购置办公用品批次</w:t>
            </w:r>
          </w:p>
        </w:tc>
        <w:tc>
          <w:tcPr>
            <w:tcW w:w="2268" w:type="dxa"/>
            <w:vAlign w:val="center"/>
          </w:tcPr>
          <w:p>
            <w:pPr>
              <w:pStyle w:val="14"/>
            </w:pPr>
            <w:r>
              <w:t>≥5批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办公用品质量合格率</w:t>
            </w:r>
          </w:p>
        </w:tc>
        <w:tc>
          <w:tcPr>
            <w:tcW w:w="5386" w:type="dxa"/>
            <w:vAlign w:val="center"/>
          </w:tcPr>
          <w:p>
            <w:pPr>
              <w:pStyle w:val="14"/>
            </w:pPr>
            <w:r>
              <w:t>办公用品质量合格率</w:t>
            </w:r>
          </w:p>
        </w:tc>
        <w:tc>
          <w:tcPr>
            <w:tcW w:w="2268" w:type="dxa"/>
            <w:vAlign w:val="center"/>
          </w:tcPr>
          <w:p>
            <w:pPr>
              <w:pStyle w:val="14"/>
            </w:pPr>
            <w:r>
              <w:t>≥98%</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购置办公用品成本</w:t>
            </w:r>
          </w:p>
        </w:tc>
        <w:tc>
          <w:tcPr>
            <w:tcW w:w="5386" w:type="dxa"/>
            <w:vAlign w:val="center"/>
          </w:tcPr>
          <w:p>
            <w:pPr>
              <w:pStyle w:val="14"/>
            </w:pPr>
            <w:r>
              <w:t>购置办公用品成本</w:t>
            </w:r>
          </w:p>
        </w:tc>
        <w:tc>
          <w:tcPr>
            <w:tcW w:w="2268" w:type="dxa"/>
            <w:vAlign w:val="center"/>
          </w:tcPr>
          <w:p>
            <w:pPr>
              <w:pStyle w:val="14"/>
            </w:pPr>
            <w:r>
              <w:t>≤39.95万元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单位工作正常开展率</w:t>
            </w:r>
          </w:p>
        </w:tc>
        <w:tc>
          <w:tcPr>
            <w:tcW w:w="5386" w:type="dxa"/>
            <w:vAlign w:val="center"/>
          </w:tcPr>
          <w:p>
            <w:pPr>
              <w:pStyle w:val="14"/>
            </w:pPr>
            <w:r>
              <w:t>单位工作正常开展率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8、2026年三干会经费绩效目标表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13012126P00113410005B</w:t>
            </w:r>
          </w:p>
        </w:tc>
        <w:tc>
          <w:tcPr>
            <w:tcW w:w="2835" w:type="dxa"/>
            <w:vAlign w:val="center"/>
          </w:tcPr>
          <w:p>
            <w:pPr>
              <w:pStyle w:val="12"/>
            </w:pPr>
            <w:r>
              <w:t>项目名称</w:t>
            </w:r>
          </w:p>
        </w:tc>
        <w:tc>
          <w:tcPr>
            <w:tcW w:w="6095" w:type="dxa"/>
            <w:gridSpan w:val="3"/>
            <w:vAlign w:val="center"/>
          </w:tcPr>
          <w:p>
            <w:pPr>
              <w:pStyle w:val="14"/>
            </w:pPr>
            <w:r>
              <w:t>2026年三干会经费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60000.00</w:t>
            </w:r>
          </w:p>
        </w:tc>
        <w:tc>
          <w:tcPr>
            <w:tcW w:w="2835" w:type="dxa"/>
            <w:vAlign w:val="center"/>
          </w:tcPr>
          <w:p>
            <w:pPr>
              <w:pStyle w:val="12"/>
            </w:pPr>
            <w:r>
              <w:t>其中：财政    资金</w:t>
            </w:r>
          </w:p>
        </w:tc>
        <w:tc>
          <w:tcPr>
            <w:tcW w:w="2551" w:type="dxa"/>
            <w:vAlign w:val="center"/>
          </w:tcPr>
          <w:p>
            <w:pPr>
              <w:pStyle w:val="14"/>
            </w:pPr>
            <w:r>
              <w:t>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通过召开三干会，保证上级精神及时传达，保障三干会、党代会等3次会议开展，安排部署工作，达到落实会议精神的效果。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1.通过召开三干会，保证上级精神及时传达，保障三干会、党代会等3次会议开展，安排部署工作，达到落实会议精神的效果。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开展会议次数</w:t>
            </w:r>
          </w:p>
        </w:tc>
        <w:tc>
          <w:tcPr>
            <w:tcW w:w="5386" w:type="dxa"/>
            <w:vAlign w:val="center"/>
          </w:tcPr>
          <w:p>
            <w:pPr>
              <w:pStyle w:val="14"/>
            </w:pPr>
            <w:r>
              <w:t>开展三干会、党代会次数</w:t>
            </w:r>
          </w:p>
        </w:tc>
        <w:tc>
          <w:tcPr>
            <w:tcW w:w="2268" w:type="dxa"/>
            <w:vAlign w:val="center"/>
          </w:tcPr>
          <w:p>
            <w:pPr>
              <w:pStyle w:val="14"/>
            </w:pPr>
            <w:r>
              <w:t>3次</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会议正常开展率</w:t>
            </w:r>
          </w:p>
        </w:tc>
        <w:tc>
          <w:tcPr>
            <w:tcW w:w="5386" w:type="dxa"/>
            <w:vAlign w:val="center"/>
          </w:tcPr>
          <w:p>
            <w:pPr>
              <w:pStyle w:val="14"/>
            </w:pPr>
            <w:r>
              <w:t>会议正常开展情况</w:t>
            </w:r>
          </w:p>
        </w:tc>
        <w:tc>
          <w:tcPr>
            <w:tcW w:w="2268" w:type="dxa"/>
            <w:vAlign w:val="center"/>
          </w:tcPr>
          <w:p>
            <w:pPr>
              <w:pStyle w:val="14"/>
            </w:pPr>
            <w:r>
              <w:t>100%</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会议开展时间</w:t>
            </w:r>
          </w:p>
        </w:tc>
        <w:tc>
          <w:tcPr>
            <w:tcW w:w="5386" w:type="dxa"/>
            <w:vAlign w:val="center"/>
          </w:tcPr>
          <w:p>
            <w:pPr>
              <w:pStyle w:val="14"/>
            </w:pPr>
            <w:r>
              <w:t>三干会、党代会</w:t>
            </w:r>
            <w:bookmarkStart w:id="0" w:name="_GoBack"/>
            <w:bookmarkEnd w:id="0"/>
            <w:r>
              <w:t>开展时间</w:t>
            </w:r>
          </w:p>
        </w:tc>
        <w:tc>
          <w:tcPr>
            <w:tcW w:w="2268" w:type="dxa"/>
            <w:vAlign w:val="center"/>
          </w:tcPr>
          <w:p>
            <w:pPr>
              <w:pStyle w:val="14"/>
            </w:pPr>
            <w:r>
              <w:t>2026年12月前</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会议开展平均成本</w:t>
            </w:r>
          </w:p>
        </w:tc>
        <w:tc>
          <w:tcPr>
            <w:tcW w:w="5386" w:type="dxa"/>
            <w:vAlign w:val="center"/>
          </w:tcPr>
          <w:p>
            <w:pPr>
              <w:pStyle w:val="14"/>
            </w:pPr>
            <w:r>
              <w:t>会议开展平均成本情况</w:t>
            </w:r>
          </w:p>
        </w:tc>
        <w:tc>
          <w:tcPr>
            <w:tcW w:w="2268" w:type="dxa"/>
            <w:vAlign w:val="center"/>
          </w:tcPr>
          <w:p>
            <w:pPr>
              <w:pStyle w:val="14"/>
            </w:pPr>
            <w:r>
              <w:t>3万元</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会议参与率</w:t>
            </w:r>
          </w:p>
        </w:tc>
        <w:tc>
          <w:tcPr>
            <w:tcW w:w="5386" w:type="dxa"/>
            <w:vAlign w:val="center"/>
          </w:tcPr>
          <w:p>
            <w:pPr>
              <w:pStyle w:val="14"/>
            </w:pPr>
            <w:r>
              <w:t>实际参与人数/计划参会总人数</w:t>
            </w:r>
          </w:p>
        </w:tc>
        <w:tc>
          <w:tcPr>
            <w:tcW w:w="2268" w:type="dxa"/>
            <w:vAlign w:val="center"/>
          </w:tcPr>
          <w:p>
            <w:pPr>
              <w:pStyle w:val="14"/>
            </w:pPr>
            <w:r>
              <w:t>≥95%</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参会人员满意度</w:t>
            </w:r>
          </w:p>
        </w:tc>
        <w:tc>
          <w:tcPr>
            <w:tcW w:w="5386" w:type="dxa"/>
            <w:vAlign w:val="center"/>
          </w:tcPr>
          <w:p>
            <w:pPr>
              <w:pStyle w:val="14"/>
            </w:pPr>
            <w:r>
              <w:t>参会人员满意度情况</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9、2026年市县乡应急值守视频平台服务费绩效目标表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13012126P001122100264</w:t>
            </w:r>
          </w:p>
        </w:tc>
        <w:tc>
          <w:tcPr>
            <w:tcW w:w="2835" w:type="dxa"/>
            <w:vAlign w:val="center"/>
          </w:tcPr>
          <w:p>
            <w:pPr>
              <w:pStyle w:val="12"/>
            </w:pPr>
            <w:r>
              <w:t>项目名称</w:t>
            </w:r>
          </w:p>
        </w:tc>
        <w:tc>
          <w:tcPr>
            <w:tcW w:w="6095" w:type="dxa"/>
            <w:gridSpan w:val="3"/>
            <w:vAlign w:val="center"/>
          </w:tcPr>
          <w:p>
            <w:pPr>
              <w:pStyle w:val="14"/>
            </w:pPr>
            <w:r>
              <w:t>2026年市县乡应急值守视频平台服务费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用于市县乡应急值守视频平台服务费，按照合同每年20万元。需按时支付平台费用，保证平台正常运行，确保各项工作上传下达。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1.用于市县乡应急值守视频平台服务费，按照合同每年20万元。需按时支付平台费用，保证平台正常运行，确保各项工作上传下达。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租用平台数量</w:t>
            </w:r>
          </w:p>
        </w:tc>
        <w:tc>
          <w:tcPr>
            <w:tcW w:w="5386" w:type="dxa"/>
            <w:vAlign w:val="center"/>
          </w:tcPr>
          <w:p>
            <w:pPr>
              <w:pStyle w:val="14"/>
            </w:pPr>
            <w:r>
              <w:t>租用市县乡应急值守视频平台数量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完成支付时限</w:t>
            </w:r>
          </w:p>
        </w:tc>
        <w:tc>
          <w:tcPr>
            <w:tcW w:w="5386" w:type="dxa"/>
            <w:vAlign w:val="center"/>
          </w:tcPr>
          <w:p>
            <w:pPr>
              <w:pStyle w:val="14"/>
            </w:pPr>
            <w:r>
              <w:t>完成支付时限</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租用平台月均成本</w:t>
            </w:r>
          </w:p>
        </w:tc>
        <w:tc>
          <w:tcPr>
            <w:tcW w:w="5386" w:type="dxa"/>
            <w:vAlign w:val="center"/>
          </w:tcPr>
          <w:p>
            <w:pPr>
              <w:pStyle w:val="14"/>
            </w:pPr>
            <w:r>
              <w:t>租用平台月均成本情况</w:t>
            </w:r>
          </w:p>
        </w:tc>
        <w:tc>
          <w:tcPr>
            <w:tcW w:w="2268" w:type="dxa"/>
            <w:vAlign w:val="center"/>
          </w:tcPr>
          <w:p>
            <w:pPr>
              <w:pStyle w:val="14"/>
            </w:pPr>
            <w:r>
              <w:t>20万元/年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租赁使用年限</w:t>
            </w:r>
          </w:p>
        </w:tc>
        <w:tc>
          <w:tcPr>
            <w:tcW w:w="5386" w:type="dxa"/>
            <w:vAlign w:val="center"/>
          </w:tcPr>
          <w:p>
            <w:pPr>
              <w:pStyle w:val="14"/>
            </w:pPr>
            <w:r>
              <w:t>租赁使用年限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10、2026年县委大院机关网络宽带经费绩效目标表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13012126P00112210028B</w:t>
            </w:r>
          </w:p>
        </w:tc>
        <w:tc>
          <w:tcPr>
            <w:tcW w:w="2835" w:type="dxa"/>
            <w:vAlign w:val="center"/>
          </w:tcPr>
          <w:p>
            <w:pPr>
              <w:pStyle w:val="12"/>
            </w:pPr>
            <w:r>
              <w:t>项目名称</w:t>
            </w:r>
          </w:p>
        </w:tc>
        <w:tc>
          <w:tcPr>
            <w:tcW w:w="6095" w:type="dxa"/>
            <w:gridSpan w:val="3"/>
            <w:vAlign w:val="center"/>
          </w:tcPr>
          <w:p>
            <w:pPr>
              <w:pStyle w:val="14"/>
            </w:pPr>
            <w:r>
              <w:t>2026年县委大院机关网络宽带经费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72000.00</w:t>
            </w:r>
          </w:p>
        </w:tc>
        <w:tc>
          <w:tcPr>
            <w:tcW w:w="2835" w:type="dxa"/>
            <w:vAlign w:val="center"/>
          </w:tcPr>
          <w:p>
            <w:pPr>
              <w:pStyle w:val="12"/>
            </w:pPr>
            <w:r>
              <w:t>其中：财政    资金</w:t>
            </w:r>
          </w:p>
        </w:tc>
        <w:tc>
          <w:tcPr>
            <w:tcW w:w="2551" w:type="dxa"/>
            <w:vAlign w:val="center"/>
          </w:tcPr>
          <w:p>
            <w:pPr>
              <w:pStyle w:val="14"/>
            </w:pPr>
            <w:r>
              <w:t>72000.00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通过县委大院机关网络建设，保证网络正常运行，达到县委大院内各</w:t>
            </w:r>
            <w:r>
              <w:rPr>
                <w:rFonts w:hint="eastAsia"/>
                <w:lang w:eastAsia="zh-CN"/>
              </w:rPr>
              <w:t>单位</w:t>
            </w:r>
            <w:r>
              <w:t>网络正常运行的效果。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1.通过县委大院机关网络建设，保证网络正常运行，达到县委大院内各</w:t>
            </w:r>
            <w:r>
              <w:rPr>
                <w:rFonts w:hint="eastAsia"/>
                <w:lang w:eastAsia="zh-CN"/>
              </w:rPr>
              <w:t>单位</w:t>
            </w:r>
            <w:r>
              <w:t>网络正常运行的效果。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维护网络数量</w:t>
            </w:r>
          </w:p>
        </w:tc>
        <w:tc>
          <w:tcPr>
            <w:tcW w:w="5386" w:type="dxa"/>
            <w:vAlign w:val="center"/>
          </w:tcPr>
          <w:p>
            <w:pPr>
              <w:pStyle w:val="14"/>
            </w:pPr>
            <w:r>
              <w:t>维护县委大院机关单位网络数量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租用网络月均成本</w:t>
            </w:r>
          </w:p>
        </w:tc>
        <w:tc>
          <w:tcPr>
            <w:tcW w:w="5386" w:type="dxa"/>
            <w:vAlign w:val="center"/>
          </w:tcPr>
          <w:p>
            <w:pPr>
              <w:pStyle w:val="14"/>
            </w:pPr>
            <w:r>
              <w:t>租用月均成本情况</w:t>
            </w:r>
          </w:p>
        </w:tc>
        <w:tc>
          <w:tcPr>
            <w:tcW w:w="2268" w:type="dxa"/>
            <w:vAlign w:val="center"/>
          </w:tcPr>
          <w:p>
            <w:pPr>
              <w:pStyle w:val="14"/>
            </w:pPr>
            <w:r>
              <w:t>6000元/月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租赁网络使用年限</w:t>
            </w:r>
          </w:p>
        </w:tc>
        <w:tc>
          <w:tcPr>
            <w:tcW w:w="5386" w:type="dxa"/>
            <w:vAlign w:val="center"/>
          </w:tcPr>
          <w:p>
            <w:pPr>
              <w:pStyle w:val="14"/>
            </w:pPr>
            <w:r>
              <w:t>租赁网络使用年限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网络使用人员满意度</w:t>
            </w:r>
          </w:p>
        </w:tc>
        <w:tc>
          <w:tcPr>
            <w:tcW w:w="5386" w:type="dxa"/>
            <w:vAlign w:val="center"/>
          </w:tcPr>
          <w:p>
            <w:pPr>
              <w:pStyle w:val="14"/>
            </w:pPr>
            <w:r>
              <w:t>网络使用人员满意度情况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11、2026年值班室音视频指挥调度系统服务费绩效目标表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13012126P00112210029Y</w:t>
            </w:r>
          </w:p>
        </w:tc>
        <w:tc>
          <w:tcPr>
            <w:tcW w:w="2835" w:type="dxa"/>
            <w:vAlign w:val="center"/>
          </w:tcPr>
          <w:p>
            <w:pPr>
              <w:pStyle w:val="12"/>
            </w:pPr>
            <w:r>
              <w:t>项目名称</w:t>
            </w:r>
          </w:p>
        </w:tc>
        <w:tc>
          <w:tcPr>
            <w:tcW w:w="6095" w:type="dxa"/>
            <w:gridSpan w:val="3"/>
            <w:vAlign w:val="center"/>
          </w:tcPr>
          <w:p>
            <w:pPr>
              <w:pStyle w:val="14"/>
            </w:pPr>
            <w:r>
              <w:t>2026年值班室音视频指挥调度系统服务费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45000.00</w:t>
            </w:r>
          </w:p>
        </w:tc>
        <w:tc>
          <w:tcPr>
            <w:tcW w:w="2835" w:type="dxa"/>
            <w:vAlign w:val="center"/>
          </w:tcPr>
          <w:p>
            <w:pPr>
              <w:pStyle w:val="12"/>
            </w:pPr>
            <w:r>
              <w:t>其中：财政    资金</w:t>
            </w:r>
          </w:p>
        </w:tc>
        <w:tc>
          <w:tcPr>
            <w:tcW w:w="2551" w:type="dxa"/>
            <w:vAlign w:val="center"/>
          </w:tcPr>
          <w:p>
            <w:pPr>
              <w:pStyle w:val="14"/>
            </w:pPr>
            <w:r>
              <w:t>45000.00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通过建设省委值班室音视频指挥调度系统，保证系统正常运行，达到同省委通信及互通的效果。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1.通过建设省委值班室音视频指挥调度系统，保证系统正常运行，达到同省委通信及互通的效果。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维护平台数量</w:t>
            </w:r>
          </w:p>
        </w:tc>
        <w:tc>
          <w:tcPr>
            <w:tcW w:w="5386" w:type="dxa"/>
            <w:vAlign w:val="center"/>
          </w:tcPr>
          <w:p>
            <w:pPr>
              <w:pStyle w:val="14"/>
            </w:pPr>
            <w:r>
              <w:t>维护1个值班室音频指挥调度系统</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5386" w:type="dxa"/>
            <w:vAlign w:val="center"/>
          </w:tcPr>
          <w:p>
            <w:pPr>
              <w:pStyle w:val="14"/>
            </w:pPr>
            <w:r>
              <w:t>系统正常运行情况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服务时间</w:t>
            </w:r>
          </w:p>
        </w:tc>
        <w:tc>
          <w:tcPr>
            <w:tcW w:w="5386" w:type="dxa"/>
            <w:vAlign w:val="center"/>
          </w:tcPr>
          <w:p>
            <w:pPr>
              <w:pStyle w:val="14"/>
            </w:pPr>
            <w:r>
              <w:t>系统服务时间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系统服务费成本</w:t>
            </w:r>
          </w:p>
        </w:tc>
        <w:tc>
          <w:tcPr>
            <w:tcW w:w="5386" w:type="dxa"/>
            <w:vAlign w:val="center"/>
          </w:tcPr>
          <w:p>
            <w:pPr>
              <w:pStyle w:val="14"/>
            </w:pPr>
            <w:r>
              <w:t>系统服务费成本</w:t>
            </w:r>
          </w:p>
        </w:tc>
        <w:tc>
          <w:tcPr>
            <w:tcW w:w="2268" w:type="dxa"/>
            <w:vAlign w:val="center"/>
          </w:tcPr>
          <w:p>
            <w:pPr>
              <w:pStyle w:val="14"/>
            </w:pPr>
            <w:r>
              <w:t>4.5万元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保障系统正常运行时限</w:t>
            </w:r>
          </w:p>
        </w:tc>
        <w:tc>
          <w:tcPr>
            <w:tcW w:w="5386" w:type="dxa"/>
            <w:vAlign w:val="center"/>
          </w:tcPr>
          <w:p>
            <w:pPr>
              <w:pStyle w:val="14"/>
            </w:pPr>
            <w:r>
              <w:t>保障值班室音频指挥调度系统正常运行时限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12、2026年中办通讯、中国县域经济征订经费绩效目标表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13012126P00117710001T</w:t>
            </w:r>
          </w:p>
        </w:tc>
        <w:tc>
          <w:tcPr>
            <w:tcW w:w="2835" w:type="dxa"/>
            <w:vAlign w:val="center"/>
          </w:tcPr>
          <w:p>
            <w:pPr>
              <w:pStyle w:val="12"/>
            </w:pPr>
            <w:r>
              <w:t>项目名称</w:t>
            </w:r>
          </w:p>
        </w:tc>
        <w:tc>
          <w:tcPr>
            <w:tcW w:w="6095" w:type="dxa"/>
            <w:gridSpan w:val="3"/>
            <w:vAlign w:val="center"/>
          </w:tcPr>
          <w:p>
            <w:pPr>
              <w:pStyle w:val="14"/>
            </w:pPr>
            <w:r>
              <w:t>2026年中办通讯、中国县域经济征订经费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24000.00</w:t>
            </w:r>
          </w:p>
        </w:tc>
        <w:tc>
          <w:tcPr>
            <w:tcW w:w="2835" w:type="dxa"/>
            <w:vAlign w:val="center"/>
          </w:tcPr>
          <w:p>
            <w:pPr>
              <w:pStyle w:val="12"/>
            </w:pPr>
            <w:r>
              <w:t>其中：财政    资金</w:t>
            </w:r>
          </w:p>
        </w:tc>
        <w:tc>
          <w:tcPr>
            <w:tcW w:w="2551" w:type="dxa"/>
            <w:vAlign w:val="center"/>
          </w:tcPr>
          <w:p>
            <w:pPr>
              <w:pStyle w:val="14"/>
            </w:pPr>
            <w:r>
              <w:t>24000.00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通过征订中办通讯、中国县域经济等报刊，保证及时发放资料，达到中央精神及时传到地方的效果。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1.通过征订中办通讯、中国县域经济等报刊，保证及时发放资料，达到中央精神及时传到地方的效果。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征订数量</w:t>
            </w:r>
          </w:p>
        </w:tc>
        <w:tc>
          <w:tcPr>
            <w:tcW w:w="5386" w:type="dxa"/>
            <w:vAlign w:val="center"/>
          </w:tcPr>
          <w:p>
            <w:pPr>
              <w:pStyle w:val="14"/>
            </w:pPr>
            <w:r>
              <w:t>征订报刊数量</w:t>
            </w:r>
          </w:p>
        </w:tc>
        <w:tc>
          <w:tcPr>
            <w:tcW w:w="2268" w:type="dxa"/>
            <w:vAlign w:val="center"/>
          </w:tcPr>
          <w:p>
            <w:pPr>
              <w:pStyle w:val="14"/>
            </w:pPr>
            <w:r>
              <w:t>500份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报刊质量合格率</w:t>
            </w:r>
          </w:p>
        </w:tc>
        <w:tc>
          <w:tcPr>
            <w:tcW w:w="5386" w:type="dxa"/>
            <w:vAlign w:val="center"/>
          </w:tcPr>
          <w:p>
            <w:pPr>
              <w:pStyle w:val="14"/>
            </w:pPr>
            <w:r>
              <w:t>报刊合格率</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订阅时间</w:t>
            </w:r>
          </w:p>
        </w:tc>
        <w:tc>
          <w:tcPr>
            <w:tcW w:w="5386" w:type="dxa"/>
            <w:vAlign w:val="center"/>
          </w:tcPr>
          <w:p>
            <w:pPr>
              <w:pStyle w:val="14"/>
            </w:pPr>
            <w:r>
              <w:t>完成订阅时间</w:t>
            </w:r>
          </w:p>
        </w:tc>
        <w:tc>
          <w:tcPr>
            <w:tcW w:w="2268" w:type="dxa"/>
            <w:vAlign w:val="center"/>
          </w:tcPr>
          <w:p>
            <w:pPr>
              <w:pStyle w:val="14"/>
            </w:pPr>
            <w:r>
              <w:t>2026年12月底前</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征订报刊单位成本</w:t>
            </w:r>
          </w:p>
        </w:tc>
        <w:tc>
          <w:tcPr>
            <w:tcW w:w="5386" w:type="dxa"/>
            <w:vAlign w:val="center"/>
          </w:tcPr>
          <w:p>
            <w:pPr>
              <w:pStyle w:val="14"/>
            </w:pPr>
            <w:r>
              <w:t>征订报刊平均成本</w:t>
            </w:r>
          </w:p>
        </w:tc>
        <w:tc>
          <w:tcPr>
            <w:tcW w:w="2268" w:type="dxa"/>
            <w:vAlign w:val="center"/>
          </w:tcPr>
          <w:p>
            <w:pPr>
              <w:pStyle w:val="14"/>
            </w:pPr>
            <w:r>
              <w:t>500元/册</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报刊到位率</w:t>
            </w:r>
          </w:p>
        </w:tc>
        <w:tc>
          <w:tcPr>
            <w:tcW w:w="5386" w:type="dxa"/>
            <w:vAlign w:val="center"/>
          </w:tcPr>
          <w:p>
            <w:pPr>
              <w:pStyle w:val="14"/>
            </w:pPr>
            <w:r>
              <w:t>通过征订中办通讯、中国县域经济等报刊，提升经济工作水平</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阅读人员满意度</w:t>
            </w:r>
          </w:p>
        </w:tc>
        <w:tc>
          <w:tcPr>
            <w:tcW w:w="5386" w:type="dxa"/>
            <w:vAlign w:val="center"/>
          </w:tcPr>
          <w:p>
            <w:pPr>
              <w:pStyle w:val="14"/>
            </w:pPr>
            <w:r>
              <w:t>阅读人员满意度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13、2026年中共井陉县委办公室劳务派遣人员经费绩效目标表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13012126P00007310212U</w:t>
            </w:r>
          </w:p>
        </w:tc>
        <w:tc>
          <w:tcPr>
            <w:tcW w:w="2835" w:type="dxa"/>
            <w:vAlign w:val="center"/>
          </w:tcPr>
          <w:p>
            <w:pPr>
              <w:pStyle w:val="12"/>
            </w:pPr>
            <w:r>
              <w:t>项目名称</w:t>
            </w:r>
          </w:p>
        </w:tc>
        <w:tc>
          <w:tcPr>
            <w:tcW w:w="6095" w:type="dxa"/>
            <w:gridSpan w:val="3"/>
            <w:vAlign w:val="center"/>
          </w:tcPr>
          <w:p>
            <w:pPr>
              <w:pStyle w:val="14"/>
            </w:pPr>
            <w:r>
              <w:t>2026年中共井陉县委办公室劳务派遣人员经费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506922.84</w:t>
            </w:r>
          </w:p>
        </w:tc>
        <w:tc>
          <w:tcPr>
            <w:tcW w:w="2835" w:type="dxa"/>
            <w:vAlign w:val="center"/>
          </w:tcPr>
          <w:p>
            <w:pPr>
              <w:pStyle w:val="12"/>
            </w:pPr>
            <w:r>
              <w:t>其中：财政    资金</w:t>
            </w:r>
          </w:p>
        </w:tc>
        <w:tc>
          <w:tcPr>
            <w:tcW w:w="2551" w:type="dxa"/>
            <w:vAlign w:val="center"/>
          </w:tcPr>
          <w:p>
            <w:pPr>
              <w:pStyle w:val="14"/>
            </w:pPr>
            <w:r>
              <w:t>506922.84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通过聘用劳务派遣人员，保证单位工作人员缺口的补充，达到满足单位工作的正常开展的效果。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1.通过聘用劳务派遣人员，保证单位工作人员缺口的补充，达到满足单位工作的正常开展的效果。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5386" w:type="dxa"/>
            <w:vAlign w:val="center"/>
          </w:tcPr>
          <w:p>
            <w:pPr>
              <w:pStyle w:val="14"/>
            </w:pPr>
            <w:r>
              <w:t>劳务派遣为11人</w:t>
            </w:r>
          </w:p>
        </w:tc>
        <w:tc>
          <w:tcPr>
            <w:tcW w:w="2268" w:type="dxa"/>
            <w:vAlign w:val="center"/>
          </w:tcPr>
          <w:p>
            <w:pPr>
              <w:pStyle w:val="14"/>
            </w:pPr>
            <w:r>
              <w:t>≥11人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劳务派遣人员出勤率</w:t>
            </w:r>
          </w:p>
        </w:tc>
        <w:tc>
          <w:tcPr>
            <w:tcW w:w="5386" w:type="dxa"/>
            <w:vAlign w:val="center"/>
          </w:tcPr>
          <w:p>
            <w:pPr>
              <w:pStyle w:val="14"/>
            </w:pPr>
            <w:r>
              <w:t>劳务派遣人员出勤率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劳务派遣人员保障时限</w:t>
            </w:r>
          </w:p>
        </w:tc>
        <w:tc>
          <w:tcPr>
            <w:tcW w:w="5386" w:type="dxa"/>
            <w:vAlign w:val="center"/>
          </w:tcPr>
          <w:p>
            <w:pPr>
              <w:pStyle w:val="14"/>
            </w:pPr>
            <w:r>
              <w:t>保障劳务人员正常工作时间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平均人员成本</w:t>
            </w:r>
          </w:p>
        </w:tc>
        <w:tc>
          <w:tcPr>
            <w:tcW w:w="5386" w:type="dxa"/>
            <w:vAlign w:val="center"/>
          </w:tcPr>
          <w:p>
            <w:pPr>
              <w:pStyle w:val="14"/>
            </w:pPr>
            <w:r>
              <w:t>平均人员成本</w:t>
            </w:r>
          </w:p>
        </w:tc>
        <w:tc>
          <w:tcPr>
            <w:tcW w:w="2268" w:type="dxa"/>
            <w:vAlign w:val="center"/>
          </w:tcPr>
          <w:p>
            <w:pPr>
              <w:pStyle w:val="14"/>
            </w:pPr>
            <w:r>
              <w:t>≤3840元/月/人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反映通过聘请劳务派遣人员，保障单位工作正常开展情况</w:t>
            </w:r>
          </w:p>
        </w:tc>
        <w:tc>
          <w:tcPr>
            <w:tcW w:w="2268" w:type="dxa"/>
            <w:vAlign w:val="center"/>
          </w:tcPr>
          <w:p>
            <w:pPr>
              <w:pStyle w:val="14"/>
            </w:pPr>
            <w:r>
              <w:t>≥90%</w:t>
            </w:r>
          </w:p>
        </w:tc>
        <w:tc>
          <w:tcPr>
            <w:tcW w:w="1276"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201001中共井陉县委办公室本级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中共井陉县委办公室本级小计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70</w:t>
            </w:r>
          </w:p>
        </w:tc>
        <w:tc>
          <w:tcPr>
            <w:tcW w:w="850" w:type="dxa"/>
            <w:vAlign w:val="center"/>
          </w:tcPr>
          <w:p>
            <w:pPr>
              <w:pStyle w:val="13"/>
            </w:pPr>
            <w:r>
              <w:t>200.00</w:t>
            </w:r>
          </w:p>
        </w:tc>
        <w:tc>
          <w:tcPr>
            <w:tcW w:w="964" w:type="dxa"/>
            <w:vAlign w:val="center"/>
          </w:tcPr>
          <w:p>
            <w:pPr>
              <w:pStyle w:val="13"/>
            </w:pPr>
            <w:r>
              <w:t>14000.00</w:t>
            </w:r>
          </w:p>
        </w:tc>
        <w:tc>
          <w:tcPr>
            <w:tcW w:w="964" w:type="dxa"/>
            <w:vAlign w:val="center"/>
          </w:tcPr>
          <w:p>
            <w:pPr>
              <w:pStyle w:val="13"/>
            </w:pPr>
            <w:r>
              <w:t>14000.00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22</w:t>
            </w:r>
          </w:p>
        </w:tc>
        <w:tc>
          <w:tcPr>
            <w:tcW w:w="850" w:type="dxa"/>
            <w:vAlign w:val="center"/>
          </w:tcPr>
          <w:p>
            <w:pPr>
              <w:pStyle w:val="13"/>
            </w:pPr>
            <w:r>
              <w:t>5000.00</w:t>
            </w:r>
          </w:p>
        </w:tc>
        <w:tc>
          <w:tcPr>
            <w:tcW w:w="964" w:type="dxa"/>
            <w:vAlign w:val="center"/>
          </w:tcPr>
          <w:p>
            <w:pPr>
              <w:pStyle w:val="13"/>
            </w:pPr>
            <w:r>
              <w:t>110000.00</w:t>
            </w:r>
          </w:p>
        </w:tc>
        <w:tc>
          <w:tcPr>
            <w:tcW w:w="964" w:type="dxa"/>
            <w:vAlign w:val="center"/>
          </w:tcPr>
          <w:p>
            <w:pPr>
              <w:pStyle w:val="13"/>
            </w:pPr>
            <w:r>
              <w:t>110000.00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8</w:t>
            </w:r>
          </w:p>
        </w:tc>
        <w:tc>
          <w:tcPr>
            <w:tcW w:w="850" w:type="dxa"/>
            <w:vAlign w:val="center"/>
          </w:tcPr>
          <w:p>
            <w:pPr>
              <w:pStyle w:val="13"/>
            </w:pPr>
            <w:r>
              <w:t>10000.00</w:t>
            </w:r>
          </w:p>
        </w:tc>
        <w:tc>
          <w:tcPr>
            <w:tcW w:w="964" w:type="dxa"/>
            <w:vAlign w:val="center"/>
          </w:tcPr>
          <w:p>
            <w:pPr>
              <w:pStyle w:val="13"/>
            </w:pPr>
            <w:r>
              <w:t>80000.00</w:t>
            </w:r>
          </w:p>
        </w:tc>
        <w:tc>
          <w:tcPr>
            <w:tcW w:w="964" w:type="dxa"/>
            <w:vAlign w:val="center"/>
          </w:tcPr>
          <w:p>
            <w:pPr>
              <w:pStyle w:val="13"/>
            </w:pPr>
            <w:r>
              <w:t>80000.00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中共井陉县委办公室本级上年末固定资产金额为3658553.45元（详见下表）。本年度拟购置固定资产总额为0.00元，已按要求列入政府采购预算，详见政府采购预算表。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201001中共井陉县委办公室本级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3658553.45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1008863.72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1072</w:t>
            </w:r>
          </w:p>
        </w:tc>
        <w:tc>
          <w:tcPr>
            <w:tcW w:w="2835" w:type="dxa"/>
            <w:vAlign w:val="center"/>
          </w:tcPr>
          <w:p>
            <w:pPr>
              <w:pStyle w:val="13"/>
            </w:pPr>
            <w:r>
              <w:t>2649689.73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5C5FEF"/>
    <w:rsid w:val="2551607D"/>
    <w:rsid w:val="2E0D7DC0"/>
    <w:rsid w:val="33C27B95"/>
    <w:rsid w:val="48B378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10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2026-02-04T18:13:00Z</dcterms:created>
  <dc:creator>Administrator</dc:creator>
  <cp:lastModifiedBy>青山</cp:lastModifiedBy>
  <dcterms:modified xsi:type="dcterms:W3CDTF">2026-02-12T04:00:38Z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eyJoZGlkIjoiYTIzYTYwNDdiODM4Y2Y5NGM1ZWYxMzQ1OTdhZTAyZGEifQ==</vt:lpwstr>
  </property>
  <property fmtid="{D5CDD505-2E9C-101B-9397-08002B2CF9AE}" pid="3" name="KSOProductBuildVer">
    <vt:lpwstr>2052-11.8.2.11718</vt:lpwstr>
  </property>
  <property fmtid="{D5CDD505-2E9C-101B-9397-08002B2CF9AE}" pid="4" name="ICV">
    <vt:lpwstr>A30817EA81374D2C8BC811E6B262A433_12</vt:lpwstr>
  </property>
</Properties>
</file>