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一、井陉县信访局本级收支预算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二、井陉县信访服务中心收支预算</w:t>
      </w:r>
      <w:r>
        <w:tab/>
      </w:r>
      <w:r>
        <w:fldChar w:fldCharType="begin"/>
      </w:r>
      <w:r>
        <w:instrText xml:space="preserve">PAGEREF _Toc_4_4_0000000002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一、井陉县信访局本级收支预算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542001井陉县信访局本级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4140676.94</w:t>
            </w:r>
          </w:p>
        </w:tc>
        <w:tc>
          <w:tcPr>
            <w:tcW w:w="4535" w:type="dxa"/>
            <w:vAlign w:val="center"/>
          </w:tcPr>
          <w:p>
            <w:pPr>
              <w:pStyle w:val="12"/>
            </w:pPr>
            <w:r>
              <w:t>一、一般公共服务支出</w:t>
            </w:r>
          </w:p>
        </w:tc>
        <w:tc>
          <w:tcPr>
            <w:tcW w:w="2126" w:type="dxa"/>
            <w:vAlign w:val="center"/>
          </w:tcPr>
          <w:p>
            <w:pPr>
              <w:pStyle w:val="11"/>
            </w:pPr>
            <w:r>
              <w:t>3359937.04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539887.90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84334.90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156517.10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4140676.94</w:t>
            </w:r>
          </w:p>
        </w:tc>
        <w:tc>
          <w:tcPr>
            <w:tcW w:w="4535" w:type="dxa"/>
            <w:vAlign w:val="center"/>
          </w:tcPr>
          <w:p>
            <w:pPr>
              <w:pStyle w:val="14"/>
            </w:pPr>
            <w:r>
              <w:t>本年支出合计</w:t>
            </w:r>
          </w:p>
        </w:tc>
        <w:tc>
          <w:tcPr>
            <w:tcW w:w="2126" w:type="dxa"/>
            <w:vAlign w:val="center"/>
          </w:tcPr>
          <w:p>
            <w:pPr>
              <w:pStyle w:val="15"/>
            </w:pPr>
            <w:r>
              <w:t>4140676.94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4140676.94</w:t>
            </w:r>
          </w:p>
        </w:tc>
        <w:tc>
          <w:tcPr>
            <w:tcW w:w="4535" w:type="dxa"/>
            <w:vAlign w:val="center"/>
          </w:tcPr>
          <w:p>
            <w:pPr>
              <w:pStyle w:val="14"/>
            </w:pPr>
            <w:r>
              <w:t>支出总计</w:t>
            </w:r>
          </w:p>
        </w:tc>
        <w:tc>
          <w:tcPr>
            <w:tcW w:w="2126" w:type="dxa"/>
            <w:vAlign w:val="center"/>
          </w:tcPr>
          <w:p>
            <w:pPr>
              <w:pStyle w:val="15"/>
            </w:pPr>
            <w:r>
              <w:t>4140676.94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542001井陉县信访局本级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4140676.94</w:t>
            </w:r>
          </w:p>
        </w:tc>
        <w:tc>
          <w:tcPr>
            <w:tcW w:w="1134" w:type="dxa"/>
            <w:vAlign w:val="center"/>
          </w:tcPr>
          <w:p>
            <w:pPr>
              <w:pStyle w:val="15"/>
            </w:pPr>
            <w:r>
              <w:t>4140676.94</w:t>
            </w:r>
          </w:p>
        </w:tc>
        <w:tc>
          <w:tcPr>
            <w:tcW w:w="1134" w:type="dxa"/>
            <w:vAlign w:val="center"/>
          </w:tcPr>
          <w:p>
            <w:pPr>
              <w:pStyle w:val="15"/>
            </w:pPr>
            <w:r>
              <w:t>4140676.94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3359937.04</w:t>
            </w:r>
          </w:p>
        </w:tc>
        <w:tc>
          <w:tcPr>
            <w:tcW w:w="1134" w:type="dxa"/>
            <w:vAlign w:val="center"/>
          </w:tcPr>
          <w:p>
            <w:pPr>
              <w:pStyle w:val="11"/>
            </w:pPr>
            <w:r>
              <w:t>3359937.04</w:t>
            </w:r>
          </w:p>
        </w:tc>
        <w:tc>
          <w:tcPr>
            <w:tcW w:w="1134" w:type="dxa"/>
            <w:vAlign w:val="center"/>
          </w:tcPr>
          <w:p>
            <w:pPr>
              <w:pStyle w:val="11"/>
            </w:pPr>
            <w:r>
              <w:t>3359937.04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3359937.04</w:t>
            </w:r>
          </w:p>
        </w:tc>
        <w:tc>
          <w:tcPr>
            <w:tcW w:w="1134" w:type="dxa"/>
            <w:vAlign w:val="center"/>
          </w:tcPr>
          <w:p>
            <w:pPr>
              <w:pStyle w:val="11"/>
            </w:pPr>
            <w:r>
              <w:t>3359937.04</w:t>
            </w:r>
          </w:p>
        </w:tc>
        <w:tc>
          <w:tcPr>
            <w:tcW w:w="1134" w:type="dxa"/>
            <w:vAlign w:val="center"/>
          </w:tcPr>
          <w:p>
            <w:pPr>
              <w:pStyle w:val="11"/>
            </w:pPr>
            <w:r>
              <w:t>3359937.04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1545867.00</w:t>
            </w:r>
          </w:p>
        </w:tc>
        <w:tc>
          <w:tcPr>
            <w:tcW w:w="1134" w:type="dxa"/>
            <w:vAlign w:val="center"/>
          </w:tcPr>
          <w:p>
            <w:pPr>
              <w:pStyle w:val="11"/>
            </w:pPr>
            <w:r>
              <w:t>1545867.00</w:t>
            </w:r>
          </w:p>
        </w:tc>
        <w:tc>
          <w:tcPr>
            <w:tcW w:w="1134" w:type="dxa"/>
            <w:vAlign w:val="center"/>
          </w:tcPr>
          <w:p>
            <w:pPr>
              <w:pStyle w:val="11"/>
            </w:pPr>
            <w:r>
              <w:t>1545867.00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1814070.04</w:t>
            </w:r>
          </w:p>
        </w:tc>
        <w:tc>
          <w:tcPr>
            <w:tcW w:w="1134" w:type="dxa"/>
            <w:vAlign w:val="center"/>
          </w:tcPr>
          <w:p>
            <w:pPr>
              <w:pStyle w:val="11"/>
            </w:pPr>
            <w:r>
              <w:t>1814070.04</w:t>
            </w:r>
          </w:p>
        </w:tc>
        <w:tc>
          <w:tcPr>
            <w:tcW w:w="1134" w:type="dxa"/>
            <w:vAlign w:val="center"/>
          </w:tcPr>
          <w:p>
            <w:pPr>
              <w:pStyle w:val="11"/>
            </w:pPr>
            <w:r>
              <w:t>1814070.04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539887.90</w:t>
            </w:r>
          </w:p>
        </w:tc>
        <w:tc>
          <w:tcPr>
            <w:tcW w:w="1134" w:type="dxa"/>
            <w:vAlign w:val="center"/>
          </w:tcPr>
          <w:p>
            <w:pPr>
              <w:pStyle w:val="11"/>
            </w:pPr>
            <w:r>
              <w:t>539887.90</w:t>
            </w:r>
          </w:p>
        </w:tc>
        <w:tc>
          <w:tcPr>
            <w:tcW w:w="1134" w:type="dxa"/>
            <w:vAlign w:val="center"/>
          </w:tcPr>
          <w:p>
            <w:pPr>
              <w:pStyle w:val="11"/>
            </w:pPr>
            <w:r>
              <w:t>539887.90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532214.60</w:t>
            </w:r>
          </w:p>
        </w:tc>
        <w:tc>
          <w:tcPr>
            <w:tcW w:w="1134" w:type="dxa"/>
            <w:vAlign w:val="center"/>
          </w:tcPr>
          <w:p>
            <w:pPr>
              <w:pStyle w:val="11"/>
            </w:pPr>
            <w:r>
              <w:t>532214.60</w:t>
            </w:r>
          </w:p>
        </w:tc>
        <w:tc>
          <w:tcPr>
            <w:tcW w:w="1134" w:type="dxa"/>
            <w:vAlign w:val="center"/>
          </w:tcPr>
          <w:p>
            <w:pPr>
              <w:pStyle w:val="11"/>
            </w:pPr>
            <w:r>
              <w:t>532214.60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336965.10</w:t>
            </w:r>
          </w:p>
        </w:tc>
        <w:tc>
          <w:tcPr>
            <w:tcW w:w="1134" w:type="dxa"/>
            <w:vAlign w:val="center"/>
          </w:tcPr>
          <w:p>
            <w:pPr>
              <w:pStyle w:val="11"/>
            </w:pPr>
            <w:r>
              <w:t>336965.10</w:t>
            </w:r>
          </w:p>
        </w:tc>
        <w:tc>
          <w:tcPr>
            <w:tcW w:w="1134" w:type="dxa"/>
            <w:vAlign w:val="center"/>
          </w:tcPr>
          <w:p>
            <w:pPr>
              <w:pStyle w:val="11"/>
            </w:pPr>
            <w:r>
              <w:t>336965.10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195249.50</w:t>
            </w:r>
          </w:p>
        </w:tc>
        <w:tc>
          <w:tcPr>
            <w:tcW w:w="1134" w:type="dxa"/>
            <w:vAlign w:val="center"/>
          </w:tcPr>
          <w:p>
            <w:pPr>
              <w:pStyle w:val="11"/>
            </w:pPr>
            <w:r>
              <w:t>195249.50</w:t>
            </w:r>
          </w:p>
        </w:tc>
        <w:tc>
          <w:tcPr>
            <w:tcW w:w="1134" w:type="dxa"/>
            <w:vAlign w:val="center"/>
          </w:tcPr>
          <w:p>
            <w:pPr>
              <w:pStyle w:val="11"/>
            </w:pPr>
            <w:r>
              <w:t>195249.50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7673.30</w:t>
            </w:r>
          </w:p>
        </w:tc>
        <w:tc>
          <w:tcPr>
            <w:tcW w:w="1134" w:type="dxa"/>
            <w:vAlign w:val="center"/>
          </w:tcPr>
          <w:p>
            <w:pPr>
              <w:pStyle w:val="11"/>
            </w:pPr>
            <w:r>
              <w:t>7673.30</w:t>
            </w:r>
          </w:p>
        </w:tc>
        <w:tc>
          <w:tcPr>
            <w:tcW w:w="1134" w:type="dxa"/>
            <w:vAlign w:val="center"/>
          </w:tcPr>
          <w:p>
            <w:pPr>
              <w:pStyle w:val="11"/>
            </w:pPr>
            <w:r>
              <w:t>7673.30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7673.30</w:t>
            </w:r>
          </w:p>
        </w:tc>
        <w:tc>
          <w:tcPr>
            <w:tcW w:w="1134" w:type="dxa"/>
            <w:vAlign w:val="center"/>
          </w:tcPr>
          <w:p>
            <w:pPr>
              <w:pStyle w:val="11"/>
            </w:pPr>
            <w:r>
              <w:t>7673.30</w:t>
            </w:r>
          </w:p>
        </w:tc>
        <w:tc>
          <w:tcPr>
            <w:tcW w:w="1134" w:type="dxa"/>
            <w:vAlign w:val="center"/>
          </w:tcPr>
          <w:p>
            <w:pPr>
              <w:pStyle w:val="11"/>
            </w:pPr>
            <w:r>
              <w:t>7673.30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84334.90</w:t>
            </w:r>
          </w:p>
        </w:tc>
        <w:tc>
          <w:tcPr>
            <w:tcW w:w="1134" w:type="dxa"/>
            <w:vAlign w:val="center"/>
          </w:tcPr>
          <w:p>
            <w:pPr>
              <w:pStyle w:val="11"/>
            </w:pPr>
            <w:r>
              <w:t>84334.90</w:t>
            </w:r>
          </w:p>
        </w:tc>
        <w:tc>
          <w:tcPr>
            <w:tcW w:w="1134" w:type="dxa"/>
            <w:vAlign w:val="center"/>
          </w:tcPr>
          <w:p>
            <w:pPr>
              <w:pStyle w:val="11"/>
            </w:pPr>
            <w:r>
              <w:t>84334.90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84334.90</w:t>
            </w:r>
          </w:p>
        </w:tc>
        <w:tc>
          <w:tcPr>
            <w:tcW w:w="1134" w:type="dxa"/>
            <w:vAlign w:val="center"/>
          </w:tcPr>
          <w:p>
            <w:pPr>
              <w:pStyle w:val="11"/>
            </w:pPr>
            <w:r>
              <w:t>84334.90</w:t>
            </w:r>
          </w:p>
        </w:tc>
        <w:tc>
          <w:tcPr>
            <w:tcW w:w="1134" w:type="dxa"/>
            <w:vAlign w:val="center"/>
          </w:tcPr>
          <w:p>
            <w:pPr>
              <w:pStyle w:val="11"/>
            </w:pPr>
            <w:r>
              <w:t>84334.90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84334.90</w:t>
            </w:r>
          </w:p>
        </w:tc>
        <w:tc>
          <w:tcPr>
            <w:tcW w:w="1134" w:type="dxa"/>
            <w:vAlign w:val="center"/>
          </w:tcPr>
          <w:p>
            <w:pPr>
              <w:pStyle w:val="11"/>
            </w:pPr>
            <w:r>
              <w:t>84334.90</w:t>
            </w:r>
          </w:p>
        </w:tc>
        <w:tc>
          <w:tcPr>
            <w:tcW w:w="1134" w:type="dxa"/>
            <w:vAlign w:val="center"/>
          </w:tcPr>
          <w:p>
            <w:pPr>
              <w:pStyle w:val="11"/>
            </w:pPr>
            <w:r>
              <w:t>84334.90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156517.10</w:t>
            </w:r>
          </w:p>
        </w:tc>
        <w:tc>
          <w:tcPr>
            <w:tcW w:w="1134" w:type="dxa"/>
            <w:vAlign w:val="center"/>
          </w:tcPr>
          <w:p>
            <w:pPr>
              <w:pStyle w:val="11"/>
            </w:pPr>
            <w:r>
              <w:t>156517.10</w:t>
            </w:r>
          </w:p>
        </w:tc>
        <w:tc>
          <w:tcPr>
            <w:tcW w:w="1134" w:type="dxa"/>
            <w:vAlign w:val="center"/>
          </w:tcPr>
          <w:p>
            <w:pPr>
              <w:pStyle w:val="11"/>
            </w:pPr>
            <w:r>
              <w:t>156517.10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156517.10</w:t>
            </w:r>
          </w:p>
        </w:tc>
        <w:tc>
          <w:tcPr>
            <w:tcW w:w="1134" w:type="dxa"/>
            <w:vAlign w:val="center"/>
          </w:tcPr>
          <w:p>
            <w:pPr>
              <w:pStyle w:val="11"/>
            </w:pPr>
            <w:r>
              <w:t>156517.10</w:t>
            </w:r>
          </w:p>
        </w:tc>
        <w:tc>
          <w:tcPr>
            <w:tcW w:w="1134" w:type="dxa"/>
            <w:vAlign w:val="center"/>
          </w:tcPr>
          <w:p>
            <w:pPr>
              <w:pStyle w:val="11"/>
            </w:pPr>
            <w:r>
              <w:t>156517.10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156517.10</w:t>
            </w:r>
          </w:p>
        </w:tc>
        <w:tc>
          <w:tcPr>
            <w:tcW w:w="1134" w:type="dxa"/>
            <w:vAlign w:val="center"/>
          </w:tcPr>
          <w:p>
            <w:pPr>
              <w:pStyle w:val="11"/>
            </w:pPr>
            <w:r>
              <w:t>156517.10</w:t>
            </w:r>
          </w:p>
        </w:tc>
        <w:tc>
          <w:tcPr>
            <w:tcW w:w="1134" w:type="dxa"/>
            <w:vAlign w:val="center"/>
          </w:tcPr>
          <w:p>
            <w:pPr>
              <w:pStyle w:val="11"/>
            </w:pPr>
            <w:r>
              <w:t>156517.10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4140676.94</w:t>
            </w:r>
          </w:p>
        </w:tc>
        <w:tc>
          <w:tcPr>
            <w:tcW w:w="1361" w:type="dxa"/>
            <w:vAlign w:val="center"/>
          </w:tcPr>
          <w:p>
            <w:pPr>
              <w:pStyle w:val="15"/>
            </w:pPr>
            <w:r>
              <w:t>2326606.90</w:t>
            </w:r>
          </w:p>
        </w:tc>
        <w:tc>
          <w:tcPr>
            <w:tcW w:w="1361" w:type="dxa"/>
            <w:vAlign w:val="center"/>
          </w:tcPr>
          <w:p>
            <w:pPr>
              <w:pStyle w:val="15"/>
            </w:pPr>
            <w:r>
              <w:t>1814070.04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3359937.04</w:t>
            </w:r>
          </w:p>
        </w:tc>
        <w:tc>
          <w:tcPr>
            <w:tcW w:w="1361" w:type="dxa"/>
            <w:vAlign w:val="center"/>
          </w:tcPr>
          <w:p>
            <w:pPr>
              <w:pStyle w:val="11"/>
            </w:pPr>
            <w:r>
              <w:t>1545867.00</w:t>
            </w:r>
          </w:p>
        </w:tc>
        <w:tc>
          <w:tcPr>
            <w:tcW w:w="1361" w:type="dxa"/>
            <w:vAlign w:val="center"/>
          </w:tcPr>
          <w:p>
            <w:pPr>
              <w:pStyle w:val="11"/>
            </w:pPr>
            <w:r>
              <w:t>1814070.04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3359937.04</w:t>
            </w:r>
          </w:p>
        </w:tc>
        <w:tc>
          <w:tcPr>
            <w:tcW w:w="1361" w:type="dxa"/>
            <w:vAlign w:val="center"/>
          </w:tcPr>
          <w:p>
            <w:pPr>
              <w:pStyle w:val="11"/>
            </w:pPr>
            <w:r>
              <w:t>1545867.00</w:t>
            </w:r>
          </w:p>
        </w:tc>
        <w:tc>
          <w:tcPr>
            <w:tcW w:w="1361" w:type="dxa"/>
            <w:vAlign w:val="center"/>
          </w:tcPr>
          <w:p>
            <w:pPr>
              <w:pStyle w:val="11"/>
            </w:pPr>
            <w:r>
              <w:t>1814070.04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1545867.00</w:t>
            </w:r>
          </w:p>
        </w:tc>
        <w:tc>
          <w:tcPr>
            <w:tcW w:w="1361" w:type="dxa"/>
            <w:vAlign w:val="center"/>
          </w:tcPr>
          <w:p>
            <w:pPr>
              <w:pStyle w:val="11"/>
            </w:pPr>
            <w:r>
              <w:t>1545867.00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1814070.04</w:t>
            </w:r>
          </w:p>
        </w:tc>
        <w:tc>
          <w:tcPr>
            <w:tcW w:w="1361" w:type="dxa"/>
            <w:vAlign w:val="center"/>
          </w:tcPr>
          <w:p>
            <w:pPr>
              <w:pStyle w:val="11"/>
            </w:pPr>
          </w:p>
        </w:tc>
        <w:tc>
          <w:tcPr>
            <w:tcW w:w="1361" w:type="dxa"/>
            <w:vAlign w:val="center"/>
          </w:tcPr>
          <w:p>
            <w:pPr>
              <w:pStyle w:val="11"/>
            </w:pPr>
            <w:r>
              <w:t>1814070.04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539887.90</w:t>
            </w:r>
          </w:p>
        </w:tc>
        <w:tc>
          <w:tcPr>
            <w:tcW w:w="1361" w:type="dxa"/>
            <w:vAlign w:val="center"/>
          </w:tcPr>
          <w:p>
            <w:pPr>
              <w:pStyle w:val="11"/>
            </w:pPr>
            <w:r>
              <w:t>539887.90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532214.60</w:t>
            </w:r>
          </w:p>
        </w:tc>
        <w:tc>
          <w:tcPr>
            <w:tcW w:w="1361" w:type="dxa"/>
            <w:vAlign w:val="center"/>
          </w:tcPr>
          <w:p>
            <w:pPr>
              <w:pStyle w:val="11"/>
            </w:pPr>
            <w:r>
              <w:t>532214.60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336965.10</w:t>
            </w:r>
          </w:p>
        </w:tc>
        <w:tc>
          <w:tcPr>
            <w:tcW w:w="1361" w:type="dxa"/>
            <w:vAlign w:val="center"/>
          </w:tcPr>
          <w:p>
            <w:pPr>
              <w:pStyle w:val="11"/>
            </w:pPr>
            <w:r>
              <w:t>336965.10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195249.50</w:t>
            </w:r>
          </w:p>
        </w:tc>
        <w:tc>
          <w:tcPr>
            <w:tcW w:w="1361" w:type="dxa"/>
            <w:vAlign w:val="center"/>
          </w:tcPr>
          <w:p>
            <w:pPr>
              <w:pStyle w:val="11"/>
            </w:pPr>
            <w:r>
              <w:t>195249.50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7673.30</w:t>
            </w:r>
          </w:p>
        </w:tc>
        <w:tc>
          <w:tcPr>
            <w:tcW w:w="1361" w:type="dxa"/>
            <w:vAlign w:val="center"/>
          </w:tcPr>
          <w:p>
            <w:pPr>
              <w:pStyle w:val="11"/>
            </w:pPr>
            <w:r>
              <w:t>7673.30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7673.30</w:t>
            </w:r>
          </w:p>
        </w:tc>
        <w:tc>
          <w:tcPr>
            <w:tcW w:w="1361" w:type="dxa"/>
            <w:vAlign w:val="center"/>
          </w:tcPr>
          <w:p>
            <w:pPr>
              <w:pStyle w:val="11"/>
            </w:pPr>
            <w:r>
              <w:t>7673.30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84334.90</w:t>
            </w:r>
          </w:p>
        </w:tc>
        <w:tc>
          <w:tcPr>
            <w:tcW w:w="1361" w:type="dxa"/>
            <w:vAlign w:val="center"/>
          </w:tcPr>
          <w:p>
            <w:pPr>
              <w:pStyle w:val="11"/>
            </w:pPr>
            <w:r>
              <w:t>84334.90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84334.90</w:t>
            </w:r>
          </w:p>
        </w:tc>
        <w:tc>
          <w:tcPr>
            <w:tcW w:w="1361" w:type="dxa"/>
            <w:vAlign w:val="center"/>
          </w:tcPr>
          <w:p>
            <w:pPr>
              <w:pStyle w:val="11"/>
            </w:pPr>
            <w:r>
              <w:t>84334.90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84334.90</w:t>
            </w:r>
          </w:p>
        </w:tc>
        <w:tc>
          <w:tcPr>
            <w:tcW w:w="1361" w:type="dxa"/>
            <w:vAlign w:val="center"/>
          </w:tcPr>
          <w:p>
            <w:pPr>
              <w:pStyle w:val="11"/>
            </w:pPr>
            <w:r>
              <w:t>84334.90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156517.10</w:t>
            </w:r>
          </w:p>
        </w:tc>
        <w:tc>
          <w:tcPr>
            <w:tcW w:w="1361" w:type="dxa"/>
            <w:vAlign w:val="center"/>
          </w:tcPr>
          <w:p>
            <w:pPr>
              <w:pStyle w:val="11"/>
            </w:pPr>
            <w:r>
              <w:t>156517.10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156517.10</w:t>
            </w:r>
          </w:p>
        </w:tc>
        <w:tc>
          <w:tcPr>
            <w:tcW w:w="1361" w:type="dxa"/>
            <w:vAlign w:val="center"/>
          </w:tcPr>
          <w:p>
            <w:pPr>
              <w:pStyle w:val="11"/>
            </w:pPr>
            <w:r>
              <w:t>156517.10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156517.10</w:t>
            </w:r>
          </w:p>
        </w:tc>
        <w:tc>
          <w:tcPr>
            <w:tcW w:w="1361" w:type="dxa"/>
            <w:vAlign w:val="center"/>
          </w:tcPr>
          <w:p>
            <w:pPr>
              <w:pStyle w:val="11"/>
            </w:pPr>
            <w:r>
              <w:t>156517.10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4140676.94</w:t>
            </w:r>
          </w:p>
        </w:tc>
        <w:tc>
          <w:tcPr>
            <w:tcW w:w="3402" w:type="dxa"/>
            <w:vAlign w:val="center"/>
          </w:tcPr>
          <w:p>
            <w:pPr>
              <w:pStyle w:val="12"/>
            </w:pPr>
            <w:r>
              <w:t>一、一般公共服务支出</w:t>
            </w:r>
          </w:p>
        </w:tc>
        <w:tc>
          <w:tcPr>
            <w:tcW w:w="1474" w:type="dxa"/>
            <w:vAlign w:val="center"/>
          </w:tcPr>
          <w:p>
            <w:pPr>
              <w:pStyle w:val="11"/>
            </w:pPr>
            <w:r>
              <w:t>3359937.04</w:t>
            </w:r>
          </w:p>
        </w:tc>
        <w:tc>
          <w:tcPr>
            <w:tcW w:w="1474" w:type="dxa"/>
            <w:vAlign w:val="center"/>
          </w:tcPr>
          <w:p>
            <w:pPr>
              <w:pStyle w:val="11"/>
            </w:pPr>
            <w:r>
              <w:t>3359937.04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539887.90</w:t>
            </w:r>
          </w:p>
        </w:tc>
        <w:tc>
          <w:tcPr>
            <w:tcW w:w="1474" w:type="dxa"/>
            <w:vAlign w:val="center"/>
          </w:tcPr>
          <w:p>
            <w:pPr>
              <w:pStyle w:val="11"/>
            </w:pPr>
            <w:r>
              <w:t>539887.90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84334.90</w:t>
            </w:r>
          </w:p>
        </w:tc>
        <w:tc>
          <w:tcPr>
            <w:tcW w:w="1474" w:type="dxa"/>
            <w:vAlign w:val="center"/>
          </w:tcPr>
          <w:p>
            <w:pPr>
              <w:pStyle w:val="11"/>
            </w:pPr>
            <w:r>
              <w:t>84334.90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156517.10</w:t>
            </w:r>
          </w:p>
        </w:tc>
        <w:tc>
          <w:tcPr>
            <w:tcW w:w="1474" w:type="dxa"/>
            <w:vAlign w:val="center"/>
          </w:tcPr>
          <w:p>
            <w:pPr>
              <w:pStyle w:val="11"/>
            </w:pPr>
            <w:r>
              <w:t>156517.10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4140676.94</w:t>
            </w:r>
          </w:p>
        </w:tc>
        <w:tc>
          <w:tcPr>
            <w:tcW w:w="3402" w:type="dxa"/>
            <w:vAlign w:val="center"/>
          </w:tcPr>
          <w:p>
            <w:pPr>
              <w:pStyle w:val="14"/>
            </w:pPr>
            <w:r>
              <w:t>本年支出合计</w:t>
            </w:r>
          </w:p>
        </w:tc>
        <w:tc>
          <w:tcPr>
            <w:tcW w:w="1474" w:type="dxa"/>
            <w:vAlign w:val="center"/>
          </w:tcPr>
          <w:p>
            <w:pPr>
              <w:pStyle w:val="15"/>
            </w:pPr>
            <w:r>
              <w:t>4140676.94</w:t>
            </w:r>
          </w:p>
        </w:tc>
        <w:tc>
          <w:tcPr>
            <w:tcW w:w="1474" w:type="dxa"/>
            <w:vAlign w:val="center"/>
          </w:tcPr>
          <w:p>
            <w:pPr>
              <w:pStyle w:val="15"/>
            </w:pPr>
            <w:r>
              <w:t>4140676.94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4140676.94</w:t>
            </w:r>
          </w:p>
        </w:tc>
        <w:tc>
          <w:tcPr>
            <w:tcW w:w="3402" w:type="dxa"/>
            <w:vAlign w:val="center"/>
          </w:tcPr>
          <w:p>
            <w:pPr>
              <w:pStyle w:val="14"/>
            </w:pPr>
            <w:r>
              <w:t>支出总计</w:t>
            </w:r>
          </w:p>
        </w:tc>
        <w:tc>
          <w:tcPr>
            <w:tcW w:w="1474" w:type="dxa"/>
            <w:vAlign w:val="center"/>
          </w:tcPr>
          <w:p>
            <w:pPr>
              <w:pStyle w:val="15"/>
            </w:pPr>
            <w:r>
              <w:t>4140676.94</w:t>
            </w:r>
          </w:p>
        </w:tc>
        <w:tc>
          <w:tcPr>
            <w:tcW w:w="1474" w:type="dxa"/>
            <w:vAlign w:val="center"/>
          </w:tcPr>
          <w:p>
            <w:pPr>
              <w:pStyle w:val="15"/>
            </w:pPr>
            <w:r>
              <w:t>4140676.94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4140676.94</w:t>
            </w:r>
          </w:p>
        </w:tc>
        <w:tc>
          <w:tcPr>
            <w:tcW w:w="2551" w:type="dxa"/>
            <w:vAlign w:val="center"/>
          </w:tcPr>
          <w:p>
            <w:pPr>
              <w:pStyle w:val="15"/>
            </w:pPr>
            <w:r>
              <w:t>2326606.90</w:t>
            </w:r>
          </w:p>
        </w:tc>
        <w:tc>
          <w:tcPr>
            <w:tcW w:w="2551" w:type="dxa"/>
            <w:vAlign w:val="center"/>
          </w:tcPr>
          <w:p>
            <w:pPr>
              <w:pStyle w:val="15"/>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3359937.04</w:t>
            </w:r>
          </w:p>
        </w:tc>
        <w:tc>
          <w:tcPr>
            <w:tcW w:w="2551" w:type="dxa"/>
            <w:vAlign w:val="center"/>
          </w:tcPr>
          <w:p>
            <w:pPr>
              <w:pStyle w:val="11"/>
            </w:pPr>
            <w:r>
              <w:t>1545867.00</w:t>
            </w:r>
          </w:p>
        </w:tc>
        <w:tc>
          <w:tcPr>
            <w:tcW w:w="2551" w:type="dxa"/>
            <w:vAlign w:val="center"/>
          </w:tcPr>
          <w:p>
            <w:pPr>
              <w:pStyle w:val="11"/>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3359937.04</w:t>
            </w:r>
          </w:p>
        </w:tc>
        <w:tc>
          <w:tcPr>
            <w:tcW w:w="2551" w:type="dxa"/>
            <w:vAlign w:val="center"/>
          </w:tcPr>
          <w:p>
            <w:pPr>
              <w:pStyle w:val="11"/>
            </w:pPr>
            <w:r>
              <w:t>1545867.00</w:t>
            </w:r>
          </w:p>
        </w:tc>
        <w:tc>
          <w:tcPr>
            <w:tcW w:w="2551" w:type="dxa"/>
            <w:vAlign w:val="center"/>
          </w:tcPr>
          <w:p>
            <w:pPr>
              <w:pStyle w:val="11"/>
            </w:pPr>
            <w:r>
              <w:t>1814070.04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1545867.00</w:t>
            </w:r>
          </w:p>
        </w:tc>
        <w:tc>
          <w:tcPr>
            <w:tcW w:w="2551" w:type="dxa"/>
            <w:vAlign w:val="center"/>
          </w:tcPr>
          <w:p>
            <w:pPr>
              <w:pStyle w:val="11"/>
            </w:pPr>
            <w:r>
              <w:t>1545867.00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1814070.04</w:t>
            </w:r>
          </w:p>
        </w:tc>
        <w:tc>
          <w:tcPr>
            <w:tcW w:w="2551" w:type="dxa"/>
            <w:vAlign w:val="center"/>
          </w:tcPr>
          <w:p>
            <w:pPr>
              <w:pStyle w:val="11"/>
            </w:pPr>
          </w:p>
        </w:tc>
        <w:tc>
          <w:tcPr>
            <w:tcW w:w="2551" w:type="dxa"/>
            <w:vAlign w:val="center"/>
          </w:tcPr>
          <w:p>
            <w:pPr>
              <w:pStyle w:val="11"/>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539887.90</w:t>
            </w:r>
          </w:p>
        </w:tc>
        <w:tc>
          <w:tcPr>
            <w:tcW w:w="2551" w:type="dxa"/>
            <w:vAlign w:val="center"/>
          </w:tcPr>
          <w:p>
            <w:pPr>
              <w:pStyle w:val="11"/>
            </w:pPr>
            <w:r>
              <w:t>539887.90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532214.60</w:t>
            </w:r>
          </w:p>
        </w:tc>
        <w:tc>
          <w:tcPr>
            <w:tcW w:w="2551" w:type="dxa"/>
            <w:vAlign w:val="center"/>
          </w:tcPr>
          <w:p>
            <w:pPr>
              <w:pStyle w:val="11"/>
            </w:pPr>
            <w:r>
              <w:t>532214.60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336965.10</w:t>
            </w:r>
          </w:p>
        </w:tc>
        <w:tc>
          <w:tcPr>
            <w:tcW w:w="2551" w:type="dxa"/>
            <w:vAlign w:val="center"/>
          </w:tcPr>
          <w:p>
            <w:pPr>
              <w:pStyle w:val="11"/>
            </w:pPr>
            <w:r>
              <w:t>336965.10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195249.50</w:t>
            </w:r>
          </w:p>
        </w:tc>
        <w:tc>
          <w:tcPr>
            <w:tcW w:w="2551" w:type="dxa"/>
            <w:vAlign w:val="center"/>
          </w:tcPr>
          <w:p>
            <w:pPr>
              <w:pStyle w:val="11"/>
            </w:pPr>
            <w:r>
              <w:t>195249.50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7673.30</w:t>
            </w:r>
          </w:p>
        </w:tc>
        <w:tc>
          <w:tcPr>
            <w:tcW w:w="2551" w:type="dxa"/>
            <w:vAlign w:val="center"/>
          </w:tcPr>
          <w:p>
            <w:pPr>
              <w:pStyle w:val="11"/>
            </w:pPr>
            <w:r>
              <w:t>7673.30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7673.30</w:t>
            </w:r>
          </w:p>
        </w:tc>
        <w:tc>
          <w:tcPr>
            <w:tcW w:w="2551" w:type="dxa"/>
            <w:vAlign w:val="center"/>
          </w:tcPr>
          <w:p>
            <w:pPr>
              <w:pStyle w:val="11"/>
            </w:pPr>
            <w:r>
              <w:t>7673.30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84334.90</w:t>
            </w:r>
          </w:p>
        </w:tc>
        <w:tc>
          <w:tcPr>
            <w:tcW w:w="2551" w:type="dxa"/>
            <w:vAlign w:val="center"/>
          </w:tcPr>
          <w:p>
            <w:pPr>
              <w:pStyle w:val="11"/>
            </w:pPr>
            <w:r>
              <w:t>84334.90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84334.90</w:t>
            </w:r>
          </w:p>
        </w:tc>
        <w:tc>
          <w:tcPr>
            <w:tcW w:w="2551" w:type="dxa"/>
            <w:vAlign w:val="center"/>
          </w:tcPr>
          <w:p>
            <w:pPr>
              <w:pStyle w:val="11"/>
            </w:pPr>
            <w:r>
              <w:t>84334.90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84334.90</w:t>
            </w:r>
          </w:p>
        </w:tc>
        <w:tc>
          <w:tcPr>
            <w:tcW w:w="2551" w:type="dxa"/>
            <w:vAlign w:val="center"/>
          </w:tcPr>
          <w:p>
            <w:pPr>
              <w:pStyle w:val="11"/>
            </w:pPr>
            <w:r>
              <w:t>84334.90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156517.10</w:t>
            </w:r>
          </w:p>
        </w:tc>
        <w:tc>
          <w:tcPr>
            <w:tcW w:w="2551" w:type="dxa"/>
            <w:vAlign w:val="center"/>
          </w:tcPr>
          <w:p>
            <w:pPr>
              <w:pStyle w:val="11"/>
            </w:pPr>
            <w:r>
              <w:t>156517.10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156517.10</w:t>
            </w:r>
          </w:p>
        </w:tc>
        <w:tc>
          <w:tcPr>
            <w:tcW w:w="2551" w:type="dxa"/>
            <w:vAlign w:val="center"/>
          </w:tcPr>
          <w:p>
            <w:pPr>
              <w:pStyle w:val="11"/>
            </w:pPr>
            <w:r>
              <w:t>156517.10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156517.10</w:t>
            </w:r>
          </w:p>
        </w:tc>
        <w:tc>
          <w:tcPr>
            <w:tcW w:w="2551" w:type="dxa"/>
            <w:vAlign w:val="center"/>
          </w:tcPr>
          <w:p>
            <w:pPr>
              <w:pStyle w:val="11"/>
            </w:pPr>
            <w:r>
              <w:t>156517.10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2326606.90</w:t>
            </w:r>
          </w:p>
        </w:tc>
        <w:tc>
          <w:tcPr>
            <w:tcW w:w="2551" w:type="dxa"/>
            <w:vAlign w:val="center"/>
          </w:tcPr>
          <w:p>
            <w:pPr>
              <w:pStyle w:val="15"/>
            </w:pPr>
            <w:r>
              <w:t>2162819.90</w:t>
            </w:r>
          </w:p>
        </w:tc>
        <w:tc>
          <w:tcPr>
            <w:tcW w:w="2551" w:type="dxa"/>
            <w:vAlign w:val="center"/>
          </w:tcPr>
          <w:p>
            <w:pPr>
              <w:pStyle w:val="15"/>
            </w:pPr>
            <w:r>
              <w:t>163787.00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1825854.80</w:t>
            </w:r>
          </w:p>
        </w:tc>
        <w:tc>
          <w:tcPr>
            <w:tcW w:w="2551" w:type="dxa"/>
            <w:vAlign w:val="center"/>
          </w:tcPr>
          <w:p>
            <w:pPr>
              <w:pStyle w:val="11"/>
            </w:pPr>
            <w:r>
              <w:t>1825854.80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703836.00</w:t>
            </w:r>
          </w:p>
        </w:tc>
        <w:tc>
          <w:tcPr>
            <w:tcW w:w="2551" w:type="dxa"/>
            <w:vAlign w:val="center"/>
          </w:tcPr>
          <w:p>
            <w:pPr>
              <w:pStyle w:val="11"/>
            </w:pPr>
            <w:r>
              <w:t>703836.00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263687.00</w:t>
            </w:r>
          </w:p>
        </w:tc>
        <w:tc>
          <w:tcPr>
            <w:tcW w:w="2551" w:type="dxa"/>
            <w:vAlign w:val="center"/>
          </w:tcPr>
          <w:p>
            <w:pPr>
              <w:pStyle w:val="11"/>
            </w:pPr>
            <w:r>
              <w:t>263687.00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201112.00</w:t>
            </w:r>
          </w:p>
        </w:tc>
        <w:tc>
          <w:tcPr>
            <w:tcW w:w="2551" w:type="dxa"/>
            <w:vAlign w:val="center"/>
          </w:tcPr>
          <w:p>
            <w:pPr>
              <w:pStyle w:val="11"/>
            </w:pPr>
            <w:r>
              <w:t>201112.00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213445.00</w:t>
            </w:r>
          </w:p>
        </w:tc>
        <w:tc>
          <w:tcPr>
            <w:tcW w:w="2551" w:type="dxa"/>
            <w:vAlign w:val="center"/>
          </w:tcPr>
          <w:p>
            <w:pPr>
              <w:pStyle w:val="11"/>
            </w:pPr>
            <w:r>
              <w:t>213445.00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195249.50</w:t>
            </w:r>
          </w:p>
        </w:tc>
        <w:tc>
          <w:tcPr>
            <w:tcW w:w="2551" w:type="dxa"/>
            <w:vAlign w:val="center"/>
          </w:tcPr>
          <w:p>
            <w:pPr>
              <w:pStyle w:val="11"/>
            </w:pPr>
            <w:r>
              <w:t>195249.50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84334.90</w:t>
            </w:r>
          </w:p>
        </w:tc>
        <w:tc>
          <w:tcPr>
            <w:tcW w:w="2551" w:type="dxa"/>
            <w:vAlign w:val="center"/>
          </w:tcPr>
          <w:p>
            <w:pPr>
              <w:pStyle w:val="11"/>
            </w:pPr>
            <w:r>
              <w:t>84334.90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7673.30</w:t>
            </w:r>
          </w:p>
        </w:tc>
        <w:tc>
          <w:tcPr>
            <w:tcW w:w="2551" w:type="dxa"/>
            <w:vAlign w:val="center"/>
          </w:tcPr>
          <w:p>
            <w:pPr>
              <w:pStyle w:val="11"/>
            </w:pPr>
            <w:r>
              <w:t>7673.30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156517.10</w:t>
            </w:r>
          </w:p>
        </w:tc>
        <w:tc>
          <w:tcPr>
            <w:tcW w:w="2551" w:type="dxa"/>
            <w:vAlign w:val="center"/>
          </w:tcPr>
          <w:p>
            <w:pPr>
              <w:pStyle w:val="11"/>
            </w:pPr>
            <w:r>
              <w:t>156517.10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163787.00</w:t>
            </w:r>
          </w:p>
        </w:tc>
        <w:tc>
          <w:tcPr>
            <w:tcW w:w="2551" w:type="dxa"/>
            <w:vAlign w:val="center"/>
          </w:tcPr>
          <w:p>
            <w:pPr>
              <w:pStyle w:val="11"/>
            </w:pPr>
          </w:p>
        </w:tc>
        <w:tc>
          <w:tcPr>
            <w:tcW w:w="2551" w:type="dxa"/>
            <w:vAlign w:val="center"/>
          </w:tcPr>
          <w:p>
            <w:pPr>
              <w:pStyle w:val="11"/>
            </w:pPr>
            <w:r>
              <w:t>163787.00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37089.00</w:t>
            </w:r>
          </w:p>
        </w:tc>
        <w:tc>
          <w:tcPr>
            <w:tcW w:w="2551" w:type="dxa"/>
            <w:vAlign w:val="center"/>
          </w:tcPr>
          <w:p>
            <w:pPr>
              <w:pStyle w:val="11"/>
            </w:pPr>
          </w:p>
        </w:tc>
        <w:tc>
          <w:tcPr>
            <w:tcW w:w="2551" w:type="dxa"/>
            <w:vAlign w:val="center"/>
          </w:tcPr>
          <w:p>
            <w:pPr>
              <w:pStyle w:val="11"/>
            </w:pPr>
            <w:r>
              <w:t>37089.00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6885.00</w:t>
            </w:r>
          </w:p>
        </w:tc>
        <w:tc>
          <w:tcPr>
            <w:tcW w:w="2551" w:type="dxa"/>
            <w:vAlign w:val="center"/>
          </w:tcPr>
          <w:p>
            <w:pPr>
              <w:pStyle w:val="11"/>
            </w:pPr>
          </w:p>
        </w:tc>
        <w:tc>
          <w:tcPr>
            <w:tcW w:w="2551" w:type="dxa"/>
            <w:vAlign w:val="center"/>
          </w:tcPr>
          <w:p>
            <w:pPr>
              <w:pStyle w:val="11"/>
            </w:pPr>
            <w:r>
              <w:t>6885.00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28600.00</w:t>
            </w:r>
          </w:p>
        </w:tc>
        <w:tc>
          <w:tcPr>
            <w:tcW w:w="2551" w:type="dxa"/>
            <w:vAlign w:val="center"/>
          </w:tcPr>
          <w:p>
            <w:pPr>
              <w:pStyle w:val="11"/>
            </w:pPr>
          </w:p>
        </w:tc>
        <w:tc>
          <w:tcPr>
            <w:tcW w:w="2551" w:type="dxa"/>
            <w:vAlign w:val="center"/>
          </w:tcPr>
          <w:p>
            <w:pPr>
              <w:pStyle w:val="11"/>
            </w:pPr>
            <w:r>
              <w:t>28600.00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8426.00</w:t>
            </w:r>
          </w:p>
        </w:tc>
        <w:tc>
          <w:tcPr>
            <w:tcW w:w="2551" w:type="dxa"/>
            <w:vAlign w:val="center"/>
          </w:tcPr>
          <w:p>
            <w:pPr>
              <w:pStyle w:val="11"/>
            </w:pPr>
          </w:p>
        </w:tc>
        <w:tc>
          <w:tcPr>
            <w:tcW w:w="2551" w:type="dxa"/>
            <w:vAlign w:val="center"/>
          </w:tcPr>
          <w:p>
            <w:pPr>
              <w:pStyle w:val="11"/>
            </w:pPr>
            <w:r>
              <w:t>8426.00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17487.00</w:t>
            </w:r>
          </w:p>
        </w:tc>
        <w:tc>
          <w:tcPr>
            <w:tcW w:w="2551" w:type="dxa"/>
            <w:vAlign w:val="center"/>
          </w:tcPr>
          <w:p>
            <w:pPr>
              <w:pStyle w:val="11"/>
            </w:pPr>
          </w:p>
        </w:tc>
        <w:tc>
          <w:tcPr>
            <w:tcW w:w="2551" w:type="dxa"/>
            <w:vAlign w:val="center"/>
          </w:tcPr>
          <w:p>
            <w:pPr>
              <w:pStyle w:val="11"/>
            </w:pPr>
            <w:r>
              <w:t>17487.00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59400.00</w:t>
            </w:r>
          </w:p>
        </w:tc>
        <w:tc>
          <w:tcPr>
            <w:tcW w:w="2551" w:type="dxa"/>
            <w:vAlign w:val="center"/>
          </w:tcPr>
          <w:p>
            <w:pPr>
              <w:pStyle w:val="11"/>
            </w:pPr>
          </w:p>
        </w:tc>
        <w:tc>
          <w:tcPr>
            <w:tcW w:w="2551" w:type="dxa"/>
            <w:vAlign w:val="center"/>
          </w:tcPr>
          <w:p>
            <w:pPr>
              <w:pStyle w:val="11"/>
            </w:pPr>
            <w:r>
              <w:t>59400.00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3900.00</w:t>
            </w:r>
          </w:p>
        </w:tc>
        <w:tc>
          <w:tcPr>
            <w:tcW w:w="2551" w:type="dxa"/>
            <w:vAlign w:val="center"/>
          </w:tcPr>
          <w:p>
            <w:pPr>
              <w:pStyle w:val="11"/>
            </w:pPr>
          </w:p>
        </w:tc>
        <w:tc>
          <w:tcPr>
            <w:tcW w:w="2551" w:type="dxa"/>
            <w:vAlign w:val="center"/>
          </w:tcPr>
          <w:p>
            <w:pPr>
              <w:pStyle w:val="11"/>
            </w:pPr>
            <w:r>
              <w:t>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336965.10</w:t>
            </w:r>
          </w:p>
        </w:tc>
        <w:tc>
          <w:tcPr>
            <w:tcW w:w="2551" w:type="dxa"/>
            <w:vAlign w:val="center"/>
          </w:tcPr>
          <w:p>
            <w:pPr>
              <w:pStyle w:val="11"/>
            </w:pPr>
            <w:r>
              <w:t>336965.10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291557.10</w:t>
            </w:r>
          </w:p>
        </w:tc>
        <w:tc>
          <w:tcPr>
            <w:tcW w:w="2551" w:type="dxa"/>
            <w:vAlign w:val="center"/>
          </w:tcPr>
          <w:p>
            <w:pPr>
              <w:pStyle w:val="11"/>
            </w:pPr>
            <w:r>
              <w:t>291557.10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45408.00</w:t>
            </w:r>
          </w:p>
        </w:tc>
        <w:tc>
          <w:tcPr>
            <w:tcW w:w="2551" w:type="dxa"/>
            <w:vAlign w:val="center"/>
          </w:tcPr>
          <w:p>
            <w:pPr>
              <w:pStyle w:val="11"/>
            </w:pPr>
            <w:r>
              <w:t>45408.00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542001井陉县信访局本级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17487.00</w:t>
            </w:r>
          </w:p>
        </w:tc>
        <w:tc>
          <w:tcPr>
            <w:tcW w:w="2381" w:type="dxa"/>
            <w:vAlign w:val="center"/>
          </w:tcPr>
          <w:p>
            <w:pPr>
              <w:pStyle w:val="15"/>
            </w:pPr>
            <w:r>
              <w:t>17487.00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17487.00</w:t>
            </w:r>
          </w:p>
        </w:tc>
        <w:tc>
          <w:tcPr>
            <w:tcW w:w="2381" w:type="dxa"/>
            <w:vAlign w:val="center"/>
          </w:tcPr>
          <w:p>
            <w:pPr>
              <w:pStyle w:val="11"/>
            </w:pPr>
            <w:r>
              <w:t>17487.00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17487.00</w:t>
            </w:r>
          </w:p>
        </w:tc>
        <w:tc>
          <w:tcPr>
            <w:tcW w:w="2381" w:type="dxa"/>
            <w:vAlign w:val="center"/>
          </w:tcPr>
          <w:p>
            <w:pPr>
              <w:pStyle w:val="11"/>
            </w:pPr>
            <w:r>
              <w:t>17487.00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17487.00</w:t>
            </w:r>
          </w:p>
        </w:tc>
        <w:tc>
          <w:tcPr>
            <w:tcW w:w="2381" w:type="dxa"/>
            <w:vAlign w:val="center"/>
          </w:tcPr>
          <w:p>
            <w:pPr>
              <w:pStyle w:val="11"/>
            </w:pPr>
            <w:r>
              <w:t>17487.00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井陉县信访局本级2026年单位预算信息公开情况说明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按照《中华人民共和国预算法》、《地方预决算公开操作规程》和《关于进一步推进预算公开工作的实施意见》规定，现将井陉县信访局本级2026年单位预算公开如下：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（1）研究提出全县信访工作思路，起草信访工作地方性规章、制度草案。</w:t>
      </w:r>
    </w:p>
    <w:p>
      <w:pPr>
        <w:pStyle w:val="17"/>
      </w:pPr>
      <w:r>
        <w:t>（2）办理人民群众来信，接待群众来访，受理群众网上投诉，查办信访案件，负责人民群众建议征集工作。</w:t>
      </w:r>
    </w:p>
    <w:p>
      <w:pPr>
        <w:pStyle w:val="17"/>
      </w:pPr>
      <w:r>
        <w:t>（3）调查研究和综合分析全县信访形势及信访工作状况，总结推广各地各部门信访工作经验，提出改进和加强信访工作的意见和建议。</w:t>
      </w:r>
    </w:p>
    <w:p>
      <w:pPr>
        <w:pStyle w:val="17"/>
      </w:pPr>
      <w:r>
        <w:t>（4）参与组织、协调、指导全县社会治安综合治理和维护社会政治稳定工作，协助保障国家、省、市、县重大政治活动顺利进行，参与处理影响社会政治稳定的突发性、群体性事件。</w:t>
      </w:r>
    </w:p>
    <w:p>
      <w:pPr>
        <w:pStyle w:val="17"/>
      </w:pPr>
      <w:r>
        <w:t>（5）督促检查和指导全县各级各部门的信访工作。对各级各部门信访工作年度责任目标进行考核，对全县社会治安综合治理和维护社会政治稳定年度责任目标中有关信访工作进行考核。</w:t>
      </w:r>
    </w:p>
    <w:p>
      <w:pPr>
        <w:pStyle w:val="17"/>
      </w:pPr>
      <w:r>
        <w:t>（6）协助国家、省、市信访局处理井陉县群众进京上访工作，综合协调处理跨地区、跨部门、跨行业的重要信访问题，协助公安机关维护县委、县政府机关正常工作秩序。</w:t>
      </w:r>
    </w:p>
    <w:p>
      <w:pPr>
        <w:pStyle w:val="17"/>
      </w:pPr>
      <w:r>
        <w:t>（7）负责市、县领导及市直、县直部门领导公开接访和包联案件的组织协调工作。</w:t>
      </w:r>
    </w:p>
    <w:p>
      <w:pPr>
        <w:pStyle w:val="17"/>
      </w:pPr>
      <w:r>
        <w:t>（8）承担井陉县信访工作联席会议的日常工作，督促落实联席会议决定的事项。</w:t>
      </w:r>
    </w:p>
    <w:p>
      <w:pPr>
        <w:pStyle w:val="17"/>
      </w:pPr>
      <w:r>
        <w:t>（9）承办县委、县政府已经国家、省、市信访局交办的其他任务。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4140676.94万元，其中：一般公共预算收入4140676.94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井陉县信访局本级年度单位预算中支出预算的总体情况。2026年支出预算4140676.94万元，其中基本支出2326606.90万元，包括人员经费2162819.90万元和日常公用经费163787.00万元；项目支出1814070.04万元，主要为一是2026年群众工作运转经费，支出预算12万元，主要用于群众工作中心正常运转的一些必要支出，有办公费，水电费，律师服务费、平台运维费用等。二是2026年防范经费，支出预算169.41万元，主要用于治理进京赴省到时非访集体访;国家、省、市重要时期期间重要活动，用于维持信访值班顺利进行所必须的办公经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4140676.94万元，较2025年预算减少163748.48万元，其中：基本支出增加242251.52万元，主要为新调入编制人员导致基础支出增加项目支出减少406000.00万元，主要为群众工作运转经费和防范经费较上年均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17487.00万元，其中因公出国（境）费0.00万元；公务用车购置及运维费17487.00万元（其中：公务用车购置费为0.00万元，公务用车运维费17487.00万元)；公务接待费0.00万元。与2025年相比减少513.00万元，增减变化的主要原因是我单位财政拨款“三公”经费预算安排17487元，其中公务用车购置及运维费17487元（公务用车运维费17487元），较去年减少，主要原因是按照政府过紧日子要求压减三公经费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1、2026年信访服务中心运转经费绩效目标表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13012126P00109910001W</w:t>
            </w:r>
          </w:p>
        </w:tc>
        <w:tc>
          <w:tcPr>
            <w:tcW w:w="2835" w:type="dxa"/>
            <w:vAlign w:val="center"/>
          </w:tcPr>
          <w:p>
            <w:pPr>
              <w:pStyle w:val="10"/>
            </w:pPr>
            <w:r>
              <w:t>项目名称</w:t>
            </w:r>
          </w:p>
        </w:tc>
        <w:tc>
          <w:tcPr>
            <w:tcW w:w="6095" w:type="dxa"/>
            <w:gridSpan w:val="3"/>
            <w:vAlign w:val="center"/>
          </w:tcPr>
          <w:p>
            <w:pPr>
              <w:pStyle w:val="12"/>
            </w:pPr>
            <w:r>
              <w:t>2026年信访服务中心运转经费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利用群众工作中心和信访系统业务平台，畅通信访渠道，提高信访事项办理和效率。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1.利用群众工作中心和信访系统业务平台，畅通信访渠道，提高信访事项办理和效率。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保障服务中心办公人数</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办公场所正常运转率</w:t>
            </w:r>
          </w:p>
        </w:tc>
        <w:tc>
          <w:tcPr>
            <w:tcW w:w="5386" w:type="dxa"/>
            <w:vAlign w:val="center"/>
          </w:tcPr>
          <w:p>
            <w:pPr>
              <w:pStyle w:val="12"/>
            </w:pPr>
            <w:r>
              <w:t>办公场所正常运转，不会出现断水断电</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各项工作完成时间</w:t>
            </w:r>
          </w:p>
        </w:tc>
        <w:tc>
          <w:tcPr>
            <w:tcW w:w="5386" w:type="dxa"/>
            <w:vAlign w:val="center"/>
          </w:tcPr>
          <w:p>
            <w:pPr>
              <w:pStyle w:val="12"/>
            </w:pPr>
            <w:r>
              <w:t>各项工作完成时限情况</w:t>
            </w:r>
          </w:p>
        </w:tc>
        <w:tc>
          <w:tcPr>
            <w:tcW w:w="2268" w:type="dxa"/>
            <w:vAlign w:val="center"/>
          </w:tcPr>
          <w:p>
            <w:pPr>
              <w:pStyle w:val="12"/>
            </w:pPr>
            <w:r>
              <w:t>2026年12月底完成</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日常办公总成本</w:t>
            </w:r>
          </w:p>
        </w:tc>
        <w:tc>
          <w:tcPr>
            <w:tcW w:w="5386" w:type="dxa"/>
            <w:vAlign w:val="center"/>
          </w:tcPr>
          <w:p>
            <w:pPr>
              <w:pStyle w:val="12"/>
            </w:pPr>
            <w:r>
              <w:t>保障日常运转基本支出成本</w:t>
            </w:r>
          </w:p>
        </w:tc>
        <w:tc>
          <w:tcPr>
            <w:tcW w:w="2268" w:type="dxa"/>
            <w:vAlign w:val="center"/>
          </w:tcPr>
          <w:p>
            <w:pPr>
              <w:pStyle w:val="12"/>
            </w:pPr>
            <w:r>
              <w:t>≤152026年预算测算</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保障服务中心工作正常运转</w:t>
            </w:r>
          </w:p>
        </w:tc>
        <w:tc>
          <w:tcPr>
            <w:tcW w:w="5386" w:type="dxa"/>
            <w:vAlign w:val="center"/>
          </w:tcPr>
          <w:p>
            <w:pPr>
              <w:pStyle w:val="12"/>
            </w:pPr>
            <w:r>
              <w:t>资金及时拨付，保障服务中心工作正常运转</w:t>
            </w:r>
          </w:p>
        </w:tc>
        <w:tc>
          <w:tcPr>
            <w:tcW w:w="2268" w:type="dxa"/>
            <w:vAlign w:val="center"/>
          </w:tcPr>
          <w:p>
            <w:pPr>
              <w:pStyle w:val="12"/>
            </w:pPr>
            <w:r>
              <w:t>保障服务中心工作正常运转</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2025年信访工作计划</w:t>
            </w:r>
          </w:p>
        </w:tc>
        <w:tc>
          <w:tcPr>
            <w:tcW w:w="5386" w:type="dxa"/>
            <w:vAlign w:val="center"/>
          </w:tcPr>
          <w:p>
            <w:pPr>
              <w:pStyle w:val="12"/>
            </w:pPr>
            <w:r>
              <w:t>2025年信访工作计划</w:t>
            </w:r>
          </w:p>
        </w:tc>
        <w:tc>
          <w:tcPr>
            <w:tcW w:w="2268" w:type="dxa"/>
            <w:vAlign w:val="center"/>
          </w:tcPr>
          <w:p>
            <w:pPr>
              <w:pStyle w:val="12"/>
            </w:pPr>
            <w:r>
              <w:t>≥95</w:t>
            </w:r>
          </w:p>
        </w:tc>
        <w:tc>
          <w:tcPr>
            <w:tcW w:w="1276" w:type="dxa"/>
            <w:vAlign w:val="center"/>
          </w:tcPr>
          <w:p>
            <w:pPr>
              <w:pStyle w:val="12"/>
            </w:pPr>
            <w:r>
              <w:t>相关政策</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2、2026信访维稳经费绩效目标表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13012126P00094110023D</w:t>
            </w:r>
          </w:p>
        </w:tc>
        <w:tc>
          <w:tcPr>
            <w:tcW w:w="2835" w:type="dxa"/>
            <w:vAlign w:val="center"/>
          </w:tcPr>
          <w:p>
            <w:pPr>
              <w:pStyle w:val="10"/>
            </w:pPr>
            <w:r>
              <w:t>项目名称</w:t>
            </w:r>
          </w:p>
        </w:tc>
        <w:tc>
          <w:tcPr>
            <w:tcW w:w="6095" w:type="dxa"/>
            <w:gridSpan w:val="3"/>
            <w:vAlign w:val="center"/>
          </w:tcPr>
          <w:p>
            <w:pPr>
              <w:pStyle w:val="12"/>
            </w:pPr>
            <w:r>
              <w:t>2026信访维稳经费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1694070.04</w:t>
            </w:r>
          </w:p>
        </w:tc>
        <w:tc>
          <w:tcPr>
            <w:tcW w:w="2835" w:type="dxa"/>
            <w:vAlign w:val="center"/>
          </w:tcPr>
          <w:p>
            <w:pPr>
              <w:pStyle w:val="10"/>
            </w:pPr>
            <w:r>
              <w:t>其中：财政    资金</w:t>
            </w:r>
          </w:p>
        </w:tc>
        <w:tc>
          <w:tcPr>
            <w:tcW w:w="2551" w:type="dxa"/>
            <w:vAlign w:val="center"/>
          </w:tcPr>
          <w:p>
            <w:pPr>
              <w:pStyle w:val="12"/>
            </w:pPr>
            <w:r>
              <w:t>1694070.04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1、妥善处置进京赴省到市集体访、非正常访等,做好信访矛盾隐患排查化解工作，维护全县社会信访稳定大局。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1.1、妥善处置进京赴省到市集体访、非正常访等,做好信访矛盾隐患排查化解工作，维护全县社会信访稳定大局。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息诉罢访率</w:t>
            </w:r>
          </w:p>
        </w:tc>
        <w:tc>
          <w:tcPr>
            <w:tcW w:w="5386" w:type="dxa"/>
            <w:vAlign w:val="center"/>
          </w:tcPr>
          <w:p>
            <w:pPr>
              <w:pStyle w:val="12"/>
            </w:pPr>
            <w:r>
              <w:t>国家省市交办重点案件息诉罢访率达到80%。</w:t>
            </w:r>
          </w:p>
        </w:tc>
        <w:tc>
          <w:tcPr>
            <w:tcW w:w="2268" w:type="dxa"/>
            <w:vAlign w:val="center"/>
          </w:tcPr>
          <w:p>
            <w:pPr>
              <w:pStyle w:val="12"/>
            </w:pPr>
            <w:r>
              <w:t>≥80%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信访事项按期办结率</w:t>
            </w:r>
          </w:p>
        </w:tc>
        <w:tc>
          <w:tcPr>
            <w:tcW w:w="5386" w:type="dxa"/>
            <w:vAlign w:val="center"/>
          </w:tcPr>
          <w:p>
            <w:pPr>
              <w:pStyle w:val="12"/>
            </w:pPr>
            <w:r>
              <w:t>本年度内按期办结信访事项数量占全年信访事项总量的占比</w:t>
            </w:r>
          </w:p>
        </w:tc>
        <w:tc>
          <w:tcPr>
            <w:tcW w:w="2268" w:type="dxa"/>
            <w:vAlign w:val="center"/>
          </w:tcPr>
          <w:p>
            <w:pPr>
              <w:pStyle w:val="12"/>
            </w:pPr>
            <w:r>
              <w:t>≥90%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经费使用率</w:t>
            </w:r>
          </w:p>
        </w:tc>
        <w:tc>
          <w:tcPr>
            <w:tcW w:w="5386" w:type="dxa"/>
            <w:vAlign w:val="center"/>
          </w:tcPr>
          <w:p>
            <w:pPr>
              <w:pStyle w:val="12"/>
            </w:pPr>
            <w:r>
              <w:t>信访防范经费按要求达到支出率支出规范性。</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成本节约率</w:t>
            </w:r>
          </w:p>
        </w:tc>
        <w:tc>
          <w:tcPr>
            <w:tcW w:w="5386" w:type="dxa"/>
            <w:vAlign w:val="center"/>
          </w:tcPr>
          <w:p>
            <w:pPr>
              <w:pStyle w:val="12"/>
            </w:pPr>
            <w:r>
              <w:t>严格按照预算执行</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项目能持续运行</w:t>
            </w:r>
          </w:p>
        </w:tc>
        <w:tc>
          <w:tcPr>
            <w:tcW w:w="5386" w:type="dxa"/>
            <w:vAlign w:val="center"/>
          </w:tcPr>
          <w:p>
            <w:pPr>
              <w:pStyle w:val="12"/>
            </w:pPr>
            <w:r>
              <w:t>项目能持续运行，项目依据的政策能持续执行</w:t>
            </w:r>
          </w:p>
        </w:tc>
        <w:tc>
          <w:tcPr>
            <w:tcW w:w="2268" w:type="dxa"/>
            <w:vAlign w:val="center"/>
          </w:tcPr>
          <w:p>
            <w:pPr>
              <w:pStyle w:val="12"/>
            </w:pPr>
            <w:r>
              <w:t>≥80%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维护全县社会大局稳定性</w:t>
            </w:r>
          </w:p>
        </w:tc>
        <w:tc>
          <w:tcPr>
            <w:tcW w:w="5386" w:type="dxa"/>
            <w:vAlign w:val="center"/>
          </w:tcPr>
          <w:p>
            <w:pPr>
              <w:pStyle w:val="12"/>
            </w:pPr>
            <w:r>
              <w:t>使全县信访稳定情况逐年提高。</w:t>
            </w:r>
          </w:p>
        </w:tc>
        <w:tc>
          <w:tcPr>
            <w:tcW w:w="2268" w:type="dxa"/>
            <w:vAlign w:val="center"/>
          </w:tcPr>
          <w:p>
            <w:pPr>
              <w:pStyle w:val="12"/>
            </w:pPr>
            <w:r>
              <w:t>≥90%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信访矛盾隐患排查情况</w:t>
            </w:r>
          </w:p>
        </w:tc>
        <w:tc>
          <w:tcPr>
            <w:tcW w:w="5386" w:type="dxa"/>
            <w:vAlign w:val="center"/>
          </w:tcPr>
          <w:p>
            <w:pPr>
              <w:pStyle w:val="12"/>
            </w:pPr>
            <w:r>
              <w:t>信访矛盾隐患达到90%</w:t>
            </w:r>
          </w:p>
        </w:tc>
        <w:tc>
          <w:tcPr>
            <w:tcW w:w="2268" w:type="dxa"/>
            <w:vAlign w:val="center"/>
          </w:tcPr>
          <w:p>
            <w:pPr>
              <w:pStyle w:val="12"/>
            </w:pPr>
            <w:r>
              <w:t>≥90%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5386" w:type="dxa"/>
            <w:vAlign w:val="center"/>
          </w:tcPr>
          <w:p>
            <w:pPr>
              <w:pStyle w:val="12"/>
            </w:pPr>
            <w:r>
              <w:t>本年度内信访事项办理群众满意率达到90%。</w:t>
            </w:r>
          </w:p>
        </w:tc>
        <w:tc>
          <w:tcPr>
            <w:tcW w:w="2268" w:type="dxa"/>
            <w:vAlign w:val="center"/>
          </w:tcPr>
          <w:p>
            <w:pPr>
              <w:pStyle w:val="12"/>
            </w:pPr>
            <w:r>
              <w:t>≥90%</w:t>
            </w:r>
          </w:p>
        </w:tc>
        <w:tc>
          <w:tcPr>
            <w:tcW w:w="1276" w:type="dxa"/>
            <w:vAlign w:val="center"/>
          </w:tcPr>
          <w:p>
            <w:pPr>
              <w:pStyle w:val="12"/>
            </w:pPr>
            <w:r>
              <w:t>相关政策</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542001井陉县信访局本级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井陉县信访局本级上年末固定资产金额为2408187.00万元（详见下表）。本年度拟购置固定资产总额为0.00万元，已按要求列入政府采购预算，详见政府采购预算表。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542001井陉县信访局本级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2408187.00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239800.00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2168387.00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二、井陉县信访服务中心收支预算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542003井陉县信访服务中心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542003井陉县信访服务中心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542003井陉县信访服务中心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井陉县信访服务中心2026年单位预算信息公开情况说明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按照《中华人民共和国预算法》、《地方预决算公开操作规程》和《关于进一步推进预算公开工作的实施意见》规定，现将井陉县信访服务中心2026年单位预算公开如下：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井陉县信访服务中心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542003井陉县信访服务中心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井陉县信访服务中心上年末固定资产金额为0.00万元（详见下表）。本年度拟购置固定资产总额为0.00万元，已按要求列入政府采购预算，详见政府采购预算表。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542003井陉县信访服务中心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F87F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2026-02-04T17:07:00Z</dcterms:created>
  <dc:creator>Lenovo</dc:creator>
  <cp:lastModifiedBy>Lenovo</cp:lastModifiedBy>
  <dcterms:modified xsi:type="dcterms:W3CDTF">2026-02-04T09:21:40Z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