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64B66A">
      <w:pPr>
        <w:pStyle w:val="5"/>
        <w:widowControl w:val="0"/>
        <w:wordWrap/>
        <w:adjustRightInd/>
        <w:snapToGrid/>
        <w:spacing w:line="600" w:lineRule="exact"/>
        <w:ind w:left="0" w:leftChars="0" w:firstLine="0" w:firstLineChars="0"/>
        <w:textAlignment w:val="auto"/>
        <w:rPr>
          <w:rFonts w:hint="eastAsia" w:ascii="仿宋" w:hAnsi="仿宋" w:eastAsia="仿宋" w:cs="仿宋"/>
          <w:b w:val="0"/>
          <w:i w:val="0"/>
          <w:caps w:val="0"/>
          <w:color w:val="212121"/>
          <w:spacing w:val="0"/>
          <w:kern w:val="0"/>
          <w:sz w:val="32"/>
          <w:szCs w:val="32"/>
          <w:shd w:val="clear" w:color="090000" w:fill="FFFFFF"/>
          <w:lang w:val="en-US" w:eastAsia="zh-CN"/>
        </w:rPr>
      </w:pPr>
    </w:p>
    <w:p w14:paraId="75D54307">
      <w:pPr>
        <w:widowControl w:val="0"/>
        <w:wordWrap/>
        <w:adjustRightInd/>
        <w:snapToGrid/>
        <w:spacing w:line="600" w:lineRule="exact"/>
        <w:jc w:val="center"/>
        <w:textAlignment w:val="auto"/>
        <w:rPr>
          <w:rFonts w:hint="eastAsia" w:ascii="方正小标宋简体" w:hAnsi="方正小标宋简体" w:eastAsia="方正小标宋简体" w:cs="方正小标宋简体"/>
          <w:b w:val="0"/>
          <w:i w:val="0"/>
          <w:caps w:val="0"/>
          <w:color w:val="212121"/>
          <w:spacing w:val="0"/>
          <w:sz w:val="44"/>
          <w:szCs w:val="44"/>
          <w:shd w:val="clear" w:color="080000" w:fill="FFFFFF"/>
        </w:rPr>
      </w:pPr>
      <w:r>
        <w:rPr>
          <w:rFonts w:hint="eastAsia" w:ascii="方正小标宋简体" w:hAnsi="方正小标宋简体" w:eastAsia="方正小标宋简体" w:cs="方正小标宋简体"/>
          <w:b w:val="0"/>
          <w:i w:val="0"/>
          <w:caps w:val="0"/>
          <w:color w:val="212121"/>
          <w:spacing w:val="0"/>
          <w:sz w:val="44"/>
          <w:szCs w:val="44"/>
          <w:shd w:val="clear" w:color="080000" w:fill="FFFFFF"/>
          <w:lang w:eastAsia="zh-CN"/>
        </w:rPr>
        <w:t>井陉县</w:t>
      </w:r>
      <w:r>
        <w:rPr>
          <w:rFonts w:hint="eastAsia" w:ascii="方正小标宋简体" w:hAnsi="方正小标宋简体" w:eastAsia="方正小标宋简体" w:cs="方正小标宋简体"/>
          <w:b w:val="0"/>
          <w:i w:val="0"/>
          <w:caps w:val="0"/>
          <w:color w:val="212121"/>
          <w:spacing w:val="0"/>
          <w:sz w:val="44"/>
          <w:szCs w:val="44"/>
          <w:shd w:val="clear" w:color="080000" w:fill="FFFFFF"/>
        </w:rPr>
        <w:t>人民政府</w:t>
      </w:r>
      <w:r>
        <w:rPr>
          <w:rFonts w:hint="eastAsia" w:ascii="方正小标宋简体" w:hAnsi="方正小标宋简体" w:eastAsia="方正小标宋简体" w:cs="方正小标宋简体"/>
          <w:b w:val="0"/>
          <w:i w:val="0"/>
          <w:caps w:val="0"/>
          <w:color w:val="212121"/>
          <w:spacing w:val="0"/>
          <w:sz w:val="44"/>
          <w:szCs w:val="44"/>
          <w:shd w:val="clear" w:color="080000" w:fill="FFFFFF"/>
          <w:lang w:eastAsia="zh-CN"/>
        </w:rPr>
        <w:t>办公室</w:t>
      </w:r>
    </w:p>
    <w:p w14:paraId="400CFBE2">
      <w:pPr>
        <w:widowControl w:val="0"/>
        <w:wordWrap/>
        <w:adjustRightInd/>
        <w:snapToGrid/>
        <w:spacing w:line="600" w:lineRule="exact"/>
        <w:jc w:val="center"/>
        <w:textAlignment w:val="auto"/>
        <w:rPr>
          <w:rFonts w:hint="eastAsia" w:ascii="方正小标宋简体" w:hAnsi="方正小标宋简体" w:eastAsia="方正小标宋简体" w:cs="方正小标宋简体"/>
          <w:b w:val="0"/>
          <w:i w:val="0"/>
          <w:caps w:val="0"/>
          <w:color w:val="212121"/>
          <w:spacing w:val="0"/>
          <w:sz w:val="44"/>
          <w:szCs w:val="44"/>
          <w:shd w:val="clear" w:color="080000" w:fill="FFFFFF"/>
        </w:rPr>
      </w:pPr>
      <w:r>
        <w:rPr>
          <w:rFonts w:hint="eastAsia" w:ascii="方正小标宋简体" w:hAnsi="方正小标宋简体" w:eastAsia="方正小标宋简体" w:cs="方正小标宋简体"/>
          <w:b w:val="0"/>
          <w:i w:val="0"/>
          <w:caps w:val="0"/>
          <w:color w:val="212121"/>
          <w:spacing w:val="0"/>
          <w:sz w:val="44"/>
          <w:szCs w:val="44"/>
          <w:shd w:val="clear" w:color="080000" w:fill="FFFFFF"/>
        </w:rPr>
        <w:t>202</w:t>
      </w:r>
      <w:r>
        <w:rPr>
          <w:rFonts w:hint="eastAsia" w:ascii="方正小标宋简体" w:hAnsi="方正小标宋简体" w:eastAsia="方正小标宋简体" w:cs="方正小标宋简体"/>
          <w:b w:val="0"/>
          <w:i w:val="0"/>
          <w:caps w:val="0"/>
          <w:color w:val="212121"/>
          <w:spacing w:val="0"/>
          <w:sz w:val="44"/>
          <w:szCs w:val="44"/>
          <w:shd w:val="clear" w:color="080000" w:fill="FFFFFF"/>
          <w:lang w:val="en-US" w:eastAsia="zh-CN"/>
        </w:rPr>
        <w:t>5</w:t>
      </w:r>
      <w:r>
        <w:rPr>
          <w:rFonts w:hint="eastAsia" w:ascii="方正小标宋简体" w:hAnsi="方正小标宋简体" w:eastAsia="方正小标宋简体" w:cs="方正小标宋简体"/>
          <w:b w:val="0"/>
          <w:i w:val="0"/>
          <w:caps w:val="0"/>
          <w:color w:val="212121"/>
          <w:spacing w:val="0"/>
          <w:sz w:val="44"/>
          <w:szCs w:val="44"/>
          <w:shd w:val="clear" w:color="080000" w:fill="FFFFFF"/>
        </w:rPr>
        <w:t>年政府信息公开工作年度报告</w:t>
      </w:r>
    </w:p>
    <w:p w14:paraId="0772A122">
      <w:pPr>
        <w:widowControl w:val="0"/>
        <w:wordWrap/>
        <w:adjustRightInd/>
        <w:snapToGrid/>
        <w:spacing w:line="600" w:lineRule="exact"/>
        <w:jc w:val="center"/>
        <w:textAlignment w:val="auto"/>
        <w:rPr>
          <w:rFonts w:hint="eastAsia" w:ascii="仿宋" w:hAnsi="仿宋" w:eastAsia="仿宋" w:cs="仿宋"/>
          <w:b w:val="0"/>
          <w:i w:val="0"/>
          <w:caps w:val="0"/>
          <w:color w:val="212121"/>
          <w:spacing w:val="0"/>
          <w:sz w:val="32"/>
          <w:szCs w:val="32"/>
          <w:shd w:val="clear" w:color="080000" w:fill="FFFFFF"/>
        </w:rPr>
      </w:pPr>
    </w:p>
    <w:p w14:paraId="32F0CF3A">
      <w:pPr>
        <w:widowControl w:val="0"/>
        <w:wordWrap/>
        <w:adjustRightInd/>
        <w:snapToGrid/>
        <w:spacing w:line="600" w:lineRule="exact"/>
        <w:ind w:firstLine="640" w:firstLineChars="200"/>
        <w:textAlignment w:val="auto"/>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本报告依据《中华人民共和国政府信息公开条例》和</w:t>
      </w:r>
      <w:r>
        <w:rPr>
          <w:rFonts w:hint="eastAsia" w:ascii="方正仿宋简体" w:hAnsi="方正仿宋简体" w:eastAsia="方正仿宋简体" w:cs="方正仿宋简体"/>
          <w:bCs/>
          <w:color w:val="000000"/>
          <w:sz w:val="32"/>
          <w:szCs w:val="32"/>
        </w:rPr>
        <w:t>《</w:t>
      </w:r>
      <w:r>
        <w:rPr>
          <w:rFonts w:hint="eastAsia" w:ascii="方正仿宋简体" w:hAnsi="方正仿宋简体" w:eastAsia="方正仿宋简体" w:cs="方正仿宋简体"/>
          <w:bCs/>
          <w:color w:val="000000"/>
          <w:sz w:val="32"/>
          <w:szCs w:val="32"/>
          <w:lang w:eastAsia="zh-CN"/>
        </w:rPr>
        <w:t>关于印发</w:t>
      </w:r>
      <w:r>
        <w:rPr>
          <w:rFonts w:hint="eastAsia" w:ascii="方正仿宋简体" w:hAnsi="方正仿宋简体" w:eastAsia="方正仿宋简体" w:cs="方正仿宋简体"/>
          <w:bCs/>
          <w:color w:val="000000"/>
          <w:sz w:val="32"/>
          <w:szCs w:val="32"/>
          <w:lang w:val="en-US" w:eastAsia="zh-CN"/>
        </w:rPr>
        <w:t>&lt;中华人民共和国政府信息公开工作年度报告格式&gt;的通知</w:t>
      </w:r>
      <w:r>
        <w:rPr>
          <w:rFonts w:hint="eastAsia" w:ascii="方正仿宋简体" w:hAnsi="方正仿宋简体" w:eastAsia="方正仿宋简体" w:cs="方正仿宋简体"/>
          <w:bCs/>
          <w:color w:val="000000"/>
          <w:sz w:val="32"/>
          <w:szCs w:val="32"/>
        </w:rPr>
        <w:t>》（国</w:t>
      </w:r>
      <w:r>
        <w:rPr>
          <w:rFonts w:hint="eastAsia" w:ascii="方正仿宋简体" w:hAnsi="方正仿宋简体" w:eastAsia="方正仿宋简体" w:cs="方正仿宋简体"/>
          <w:color w:val="000000"/>
          <w:sz w:val="32"/>
          <w:szCs w:val="32"/>
        </w:rPr>
        <w:t>办公开办函〔20</w:t>
      </w:r>
      <w:r>
        <w:rPr>
          <w:rFonts w:hint="eastAsia" w:ascii="方正仿宋简体" w:hAnsi="方正仿宋简体" w:eastAsia="方正仿宋简体" w:cs="方正仿宋简体"/>
          <w:color w:val="000000"/>
          <w:sz w:val="32"/>
          <w:szCs w:val="32"/>
          <w:lang w:val="en-US" w:eastAsia="zh-CN"/>
        </w:rPr>
        <w:t>21</w:t>
      </w:r>
      <w:r>
        <w:rPr>
          <w:rFonts w:hint="eastAsia" w:ascii="方正仿宋简体" w:hAnsi="方正仿宋简体" w:eastAsia="方正仿宋简体" w:cs="方正仿宋简体"/>
          <w:color w:val="000000"/>
          <w:sz w:val="32"/>
          <w:szCs w:val="32"/>
        </w:rPr>
        <w:t>〕</w:t>
      </w:r>
      <w:r>
        <w:rPr>
          <w:rFonts w:hint="eastAsia" w:ascii="方正仿宋简体" w:hAnsi="方正仿宋简体" w:eastAsia="方正仿宋简体" w:cs="方正仿宋简体"/>
          <w:color w:val="000000"/>
          <w:sz w:val="32"/>
          <w:szCs w:val="32"/>
          <w:lang w:val="en-US" w:eastAsia="zh-CN"/>
        </w:rPr>
        <w:t>30</w:t>
      </w:r>
      <w:r>
        <w:rPr>
          <w:rFonts w:hint="eastAsia" w:ascii="方正仿宋简体" w:hAnsi="方正仿宋简体" w:eastAsia="方正仿宋简体" w:cs="方正仿宋简体"/>
          <w:color w:val="000000"/>
          <w:sz w:val="32"/>
          <w:szCs w:val="32"/>
        </w:rPr>
        <w:t>号</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要求，由井陉县人民政府办公室综合编制而成。全文包括总体情况、主动公开政府信息情况、收到和处理政府信息公开申请情况、政府信息公开行政复议和行政诉讼情况、存在的主要问题及改进情况、其他需要报告的事项等。本报告中所列数据的统计期限自2025年1月1日至2025年12月31日。如对本报告有疑问，请与井陉县人民政府办公室信息和政务公开股联系（地址：井陉县建设南路3号，电话：0311-82022975，电子邮箱：jxxzfbxxzx@163.com</w:t>
      </w:r>
      <w:r>
        <w:rPr>
          <w:rFonts w:hint="eastAsia" w:ascii="方正仿宋简体" w:hAnsi="方正仿宋简体" w:eastAsia="方正仿宋简体" w:cs="方正仿宋简体"/>
          <w:b w:val="0"/>
          <w:i w:val="0"/>
          <w:caps w:val="0"/>
          <w:color w:val="212121"/>
          <w:spacing w:val="0"/>
          <w:kern w:val="0"/>
          <w:sz w:val="32"/>
          <w:szCs w:val="32"/>
          <w:u w:val="none"/>
          <w:shd w:val="clear" w:color="0A0000" w:fill="FFFFFF"/>
          <w:lang w:val="en-US" w:eastAsia="zh-CN"/>
        </w:rPr>
        <w:t>）。</w:t>
      </w:r>
    </w:p>
    <w:p w14:paraId="1216AEA6">
      <w:pPr>
        <w:widowControl w:val="0"/>
        <w:numPr>
          <w:ilvl w:val="0"/>
          <w:numId w:val="0"/>
        </w:numPr>
        <w:wordWrap/>
        <w:adjustRightInd/>
        <w:snapToGrid/>
        <w:spacing w:line="600" w:lineRule="exact"/>
        <w:ind w:firstLine="640" w:firstLineChars="200"/>
        <w:textAlignment w:val="auto"/>
        <w:rPr>
          <w:rFonts w:hint="eastAsia" w:ascii="方正黑体简体" w:hAnsi="方正黑体简体" w:eastAsia="方正黑体简体" w:cs="方正黑体简体"/>
          <w:sz w:val="32"/>
          <w:szCs w:val="32"/>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一、总体情况</w:t>
      </w:r>
    </w:p>
    <w:p w14:paraId="0D864D06">
      <w:pPr>
        <w:widowControl w:val="0"/>
        <w:numPr>
          <w:ilvl w:val="0"/>
          <w:numId w:val="0"/>
        </w:numPr>
        <w:wordWrap/>
        <w:adjustRightInd/>
        <w:snapToGrid/>
        <w:spacing w:line="600" w:lineRule="exact"/>
        <w:ind w:firstLine="640" w:firstLineChars="200"/>
        <w:textAlignment w:val="auto"/>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2025年，井陉县人民政府办公室坚持以习近平新时代中国特色社会主义思想为指导，深入贯彻落实《条例》精神，严格遵循“公开为常态、不公开为例外”原则，围绕全县中心工作和群众关切，以提升政务公开质量和实效为核心，统筹推进主动公开、依申请公开、平台建设和监督保障等各项工作，为建设法治政府、透明政府提供有力支撑。</w:t>
      </w:r>
    </w:p>
    <w:p w14:paraId="1E649C8E">
      <w:pPr>
        <w:widowControl w:val="0"/>
        <w:numPr>
          <w:ilvl w:val="0"/>
          <w:numId w:val="0"/>
        </w:numPr>
        <w:wordWrap/>
        <w:adjustRightInd/>
        <w:snapToGrid/>
        <w:spacing w:line="600" w:lineRule="exact"/>
        <w:ind w:firstLine="640" w:firstLineChars="200"/>
        <w:textAlignment w:val="auto"/>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p>
    <w:p w14:paraId="08A8D12A">
      <w:pPr>
        <w:widowControl w:val="0"/>
        <w:numPr>
          <w:ilvl w:val="0"/>
          <w:numId w:val="1"/>
        </w:numPr>
        <w:wordWrap/>
        <w:adjustRightInd/>
        <w:snapToGrid/>
        <w:spacing w:line="600" w:lineRule="exact"/>
        <w:ind w:firstLine="640" w:firstLineChars="200"/>
        <w:textAlignment w:val="auto"/>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 xml:space="preserve">主动公开深化拓展​ </w:t>
      </w:r>
    </w:p>
    <w:p w14:paraId="63A83399">
      <w:pPr>
        <w:widowControl w:val="0"/>
        <w:numPr>
          <w:ilvl w:val="0"/>
          <w:numId w:val="0"/>
        </w:numPr>
        <w:wordWrap/>
        <w:adjustRightInd/>
        <w:snapToGrid/>
        <w:spacing w:line="600" w:lineRule="exact"/>
        <w:ind w:firstLine="640" w:firstLineChars="200"/>
        <w:textAlignment w:val="auto"/>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聚焦重大决策部署、重点领域工作和民生关切，健全主动公开目录体系，优化公开流程。全年通过县政府门户网站、政务新媒体等平台主动公开各类信息4000余条，其中政策文件及解读14条，及时发布2025年政府工作报告、法治政府建设工作情况、国民经济和社会发展计划执行情况等核心信息。围绕重大建设项目批准和实施、公共资源配置、社会公益事业建设等重点领域，细化公开内容，主动公开重大项目招投标、征地拆迁、保障性住房分配、财政预决算等信息500余条，切实保障群众的知情权和监督权。​</w:t>
      </w:r>
    </w:p>
    <w:p w14:paraId="52EC4B03">
      <w:pPr>
        <w:widowControl w:val="0"/>
        <w:numPr>
          <w:ilvl w:val="0"/>
          <w:numId w:val="1"/>
        </w:numPr>
        <w:wordWrap/>
        <w:adjustRightInd/>
        <w:snapToGrid/>
        <w:spacing w:line="600" w:lineRule="exact"/>
        <w:ind w:left="0" w:leftChars="0" w:firstLine="640" w:firstLineChars="200"/>
        <w:textAlignment w:val="auto"/>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 xml:space="preserve">依申请公开规范高效​ </w:t>
      </w:r>
    </w:p>
    <w:p w14:paraId="7BFFACF5">
      <w:pPr>
        <w:widowControl w:val="0"/>
        <w:numPr>
          <w:ilvl w:val="0"/>
          <w:numId w:val="0"/>
        </w:numPr>
        <w:wordWrap/>
        <w:adjustRightInd/>
        <w:snapToGrid/>
        <w:spacing w:line="600" w:lineRule="exact"/>
        <w:ind w:firstLine="640" w:firstLineChars="200"/>
        <w:textAlignment w:val="auto"/>
        <w:rPr>
          <w:rFonts w:hint="default"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严格落实《条例》关于依申请公开的规定，健全申请接收、登记、审核、办理、答复、归档全流程工作机制，规范答复文书格式，提升办理专业化水平。2025年，共收到政府信息公开申请19件，均按规定时限完成办理并答复。</w:t>
      </w:r>
      <w:r>
        <w:rPr>
          <w:rFonts w:hint="default" w:ascii="方正仿宋简体" w:hAnsi="方正仿宋简体" w:eastAsia="方正仿宋简体" w:cs="方正仿宋简体"/>
          <w:b w:val="0"/>
          <w:i w:val="0"/>
          <w:caps w:val="0"/>
          <w:color w:val="212121"/>
          <w:spacing w:val="0"/>
          <w:kern w:val="0"/>
          <w:sz w:val="32"/>
          <w:szCs w:val="32"/>
          <w:shd w:val="clear" w:color="090000" w:fill="FFFFFF"/>
          <w:lang w:val="en-US" w:eastAsia="zh-CN"/>
        </w:rPr>
        <w:t>因政府信息公开引起的行政复议</w:t>
      </w: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6</w:t>
      </w:r>
      <w:r>
        <w:rPr>
          <w:rFonts w:hint="default" w:ascii="方正仿宋简体" w:hAnsi="方正仿宋简体" w:eastAsia="方正仿宋简体" w:cs="方正仿宋简体"/>
          <w:b w:val="0"/>
          <w:i w:val="0"/>
          <w:caps w:val="0"/>
          <w:color w:val="212121"/>
          <w:spacing w:val="0"/>
          <w:kern w:val="0"/>
          <w:sz w:val="32"/>
          <w:szCs w:val="32"/>
          <w:shd w:val="clear" w:color="090000" w:fill="FFFFFF"/>
          <w:lang w:val="en-US" w:eastAsia="zh-CN"/>
        </w:rPr>
        <w:t>件，行政诉讼</w:t>
      </w: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1</w:t>
      </w:r>
      <w:r>
        <w:rPr>
          <w:rFonts w:hint="default" w:ascii="方正仿宋简体" w:hAnsi="方正仿宋简体" w:eastAsia="方正仿宋简体" w:cs="方正仿宋简体"/>
          <w:b w:val="0"/>
          <w:i w:val="0"/>
          <w:caps w:val="0"/>
          <w:color w:val="212121"/>
          <w:spacing w:val="0"/>
          <w:kern w:val="0"/>
          <w:sz w:val="32"/>
          <w:szCs w:val="32"/>
          <w:shd w:val="clear" w:color="090000" w:fill="FFFFFF"/>
          <w:lang w:val="en-US" w:eastAsia="zh-CN"/>
        </w:rPr>
        <w:t>件</w:t>
      </w: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。在办理过程中，加强与申请人的沟通对接，精准把握申请需求，提高答复针对性和满意度。</w:t>
      </w:r>
    </w:p>
    <w:p w14:paraId="5FAFD4CA">
      <w:pPr>
        <w:widowControl w:val="0"/>
        <w:numPr>
          <w:ilvl w:val="0"/>
          <w:numId w:val="1"/>
        </w:numPr>
        <w:wordWrap/>
        <w:adjustRightInd/>
        <w:snapToGrid/>
        <w:spacing w:line="600" w:lineRule="exact"/>
        <w:ind w:left="0" w:leftChars="0" w:firstLine="640" w:firstLineChars="200"/>
        <w:textAlignment w:val="auto"/>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 xml:space="preserve">政府信息管理持续强化​ </w:t>
      </w:r>
    </w:p>
    <w:p w14:paraId="3422EDE6">
      <w:pPr>
        <w:widowControl w:val="0"/>
        <w:numPr>
          <w:ilvl w:val="0"/>
          <w:numId w:val="0"/>
        </w:numPr>
        <w:wordWrap/>
        <w:adjustRightInd/>
        <w:snapToGrid/>
        <w:spacing w:line="600" w:lineRule="exact"/>
        <w:ind w:firstLine="640" w:firstLineChars="200"/>
        <w:textAlignment w:val="auto"/>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 xml:space="preserve">健全政府信息公开属性源头认定机制，在公文拟制环节严格落实保密审查和公开属性认定程序，明确“此件公开发布”“此件不公开”“此件依申请公开”等属性并说明理由，确保公开信息合法合规。加强规范性文件管理，开展现行有效规范性文件梳理汇总，实现集中统一公开并动态更新，全年未发生规范性文件漏公开、错公开情况。​ </w:t>
      </w:r>
    </w:p>
    <w:p w14:paraId="62809534">
      <w:pPr>
        <w:widowControl w:val="0"/>
        <w:numPr>
          <w:ilvl w:val="0"/>
          <w:numId w:val="1"/>
        </w:numPr>
        <w:wordWrap/>
        <w:adjustRightInd/>
        <w:snapToGrid/>
        <w:spacing w:line="600" w:lineRule="exact"/>
        <w:ind w:left="0" w:leftChars="0" w:firstLine="640" w:firstLineChars="200"/>
        <w:textAlignment w:val="auto"/>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 xml:space="preserve">公开平台优化提升​ </w:t>
      </w:r>
    </w:p>
    <w:p w14:paraId="3644103E">
      <w:pPr>
        <w:widowControl w:val="0"/>
        <w:numPr>
          <w:ilvl w:val="0"/>
          <w:numId w:val="0"/>
        </w:numPr>
        <w:wordWrap/>
        <w:adjustRightInd/>
        <w:snapToGrid/>
        <w:spacing w:line="600" w:lineRule="exact"/>
        <w:ind w:firstLine="640" w:firstLineChars="200"/>
        <w:textAlignment w:val="auto"/>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 xml:space="preserve">以县政府门户网站为核心公开平台，按照国务院办公厅政务公开办要求，优化政府信息公开专栏设置，完善检索功能和分类导航，提升信息查找便捷性。加强政务新媒体矩阵建设，统筹微信公众号、微博等平台运营，实现重要政务信息同步发布、协同响应，全年通过政务新媒体发布信息400余条。规范线下公开渠道，依托县政务服务中心、档案馆、图书馆等场所设立政府信息查阅点，为群众提供便捷的纸质文件查阅服务。​ </w:t>
      </w:r>
    </w:p>
    <w:p w14:paraId="170A2528">
      <w:pPr>
        <w:widowControl w:val="0"/>
        <w:numPr>
          <w:ilvl w:val="0"/>
          <w:numId w:val="1"/>
        </w:numPr>
        <w:wordWrap/>
        <w:adjustRightInd/>
        <w:snapToGrid/>
        <w:spacing w:line="600" w:lineRule="exact"/>
        <w:ind w:left="0" w:leftChars="0" w:firstLine="640" w:firstLineChars="200"/>
        <w:textAlignment w:val="auto"/>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 xml:space="preserve">监督保障坚实有力​ </w:t>
      </w:r>
    </w:p>
    <w:p w14:paraId="7104D9EF">
      <w:pPr>
        <w:widowControl w:val="0"/>
        <w:numPr>
          <w:ilvl w:val="0"/>
          <w:numId w:val="0"/>
        </w:numPr>
        <w:wordWrap/>
        <w:adjustRightInd/>
        <w:snapToGrid/>
        <w:spacing w:line="600" w:lineRule="exact"/>
        <w:ind w:firstLine="640" w:firstLineChars="200"/>
        <w:textAlignment w:val="auto"/>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定期开展专项监督检查，对各乡镇、县政府各部门公开工作开展情况进行督导，通报检查结果并督促限期整改。加强业务培训，组织开展全县政府信息公开工作培训2次，提升工作人员业务能力。健全社会评议机制，广泛收集群众意见建议，全年社会评议效果良好，未发生因政府信息公开工作引发的责任追究情况。</w:t>
      </w:r>
    </w:p>
    <w:p w14:paraId="16C972F5">
      <w:pPr>
        <w:numPr>
          <w:ilvl w:val="0"/>
          <w:numId w:val="0"/>
        </w:numPr>
        <w:wordWrap/>
        <w:adjustRightInd/>
        <w:snapToGrid/>
        <w:spacing w:line="600" w:lineRule="exact"/>
        <w:ind w:leftChars="3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二、主动公开政府信息情况</w:t>
      </w:r>
    </w:p>
    <w:tbl>
      <w:tblPr>
        <w:tblStyle w:val="9"/>
        <w:tblW w:w="8458"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2130"/>
        <w:gridCol w:w="885"/>
        <w:gridCol w:w="165"/>
        <w:gridCol w:w="1740"/>
        <w:gridCol w:w="1485"/>
        <w:gridCol w:w="2053"/>
      </w:tblGrid>
      <w:tr w14:paraId="0C9E983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single" w:color="auto" w:sz="6" w:space="0"/>
              <w:left w:val="single" w:color="auto" w:sz="6" w:space="0"/>
              <w:bottom w:val="single" w:color="auto" w:sz="6" w:space="0"/>
              <w:right w:val="single" w:color="auto" w:sz="6" w:space="0"/>
            </w:tcBorders>
            <w:vAlign w:val="center"/>
          </w:tcPr>
          <w:p w14:paraId="309379CF">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第二十条第（一）项</w:t>
            </w:r>
          </w:p>
        </w:tc>
      </w:tr>
      <w:tr w14:paraId="2188A69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vAlign w:val="center"/>
          </w:tcPr>
          <w:p w14:paraId="3DC49CE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1905" w:type="dxa"/>
            <w:gridSpan w:val="2"/>
            <w:tcBorders>
              <w:top w:val="single" w:color="auto" w:sz="6" w:space="0"/>
              <w:left w:val="nil"/>
              <w:bottom w:val="single" w:color="auto" w:sz="6" w:space="0"/>
              <w:right w:val="single" w:color="auto" w:sz="6" w:space="0"/>
            </w:tcBorders>
            <w:vAlign w:val="center"/>
          </w:tcPr>
          <w:p w14:paraId="5355237A">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本年制发件数</w:t>
            </w:r>
          </w:p>
        </w:tc>
        <w:tc>
          <w:tcPr>
            <w:tcW w:w="1485" w:type="dxa"/>
            <w:tcBorders>
              <w:top w:val="single" w:color="auto" w:sz="6" w:space="0"/>
              <w:left w:val="nil"/>
              <w:bottom w:val="single" w:color="auto" w:sz="6" w:space="0"/>
              <w:right w:val="single" w:color="auto" w:sz="6" w:space="0"/>
            </w:tcBorders>
            <w:vAlign w:val="center"/>
          </w:tcPr>
          <w:p w14:paraId="469BDF97">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本年废止件数</w:t>
            </w:r>
          </w:p>
        </w:tc>
        <w:tc>
          <w:tcPr>
            <w:tcW w:w="2053" w:type="dxa"/>
            <w:tcBorders>
              <w:top w:val="single" w:color="auto" w:sz="6" w:space="0"/>
              <w:left w:val="nil"/>
              <w:bottom w:val="single" w:color="auto" w:sz="6" w:space="0"/>
              <w:right w:val="single" w:color="auto" w:sz="6" w:space="0"/>
            </w:tcBorders>
            <w:vAlign w:val="center"/>
          </w:tcPr>
          <w:p w14:paraId="57025700">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现行有效件数</w:t>
            </w:r>
          </w:p>
        </w:tc>
      </w:tr>
      <w:tr w14:paraId="2069BFF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vAlign w:val="center"/>
          </w:tcPr>
          <w:p w14:paraId="6175A4E0">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规章</w:t>
            </w:r>
          </w:p>
        </w:tc>
        <w:tc>
          <w:tcPr>
            <w:tcW w:w="1905" w:type="dxa"/>
            <w:gridSpan w:val="2"/>
            <w:tcBorders>
              <w:top w:val="nil"/>
              <w:left w:val="nil"/>
              <w:bottom w:val="single" w:color="auto" w:sz="6" w:space="0"/>
              <w:right w:val="single" w:color="auto" w:sz="6" w:space="0"/>
            </w:tcBorders>
            <w:vAlign w:val="center"/>
          </w:tcPr>
          <w:p w14:paraId="04DB3B4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1485" w:type="dxa"/>
            <w:tcBorders>
              <w:top w:val="nil"/>
              <w:left w:val="nil"/>
              <w:bottom w:val="single" w:color="auto" w:sz="6" w:space="0"/>
              <w:right w:val="single" w:color="auto" w:sz="6" w:space="0"/>
            </w:tcBorders>
            <w:vAlign w:val="center"/>
          </w:tcPr>
          <w:p w14:paraId="238E36E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2053" w:type="dxa"/>
            <w:tcBorders>
              <w:top w:val="nil"/>
              <w:left w:val="nil"/>
              <w:bottom w:val="single" w:color="auto" w:sz="6" w:space="0"/>
              <w:right w:val="single" w:color="auto" w:sz="6" w:space="0"/>
            </w:tcBorders>
            <w:vAlign w:val="center"/>
          </w:tcPr>
          <w:p w14:paraId="73CDFE00">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727ACBD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vAlign w:val="center"/>
          </w:tcPr>
          <w:p w14:paraId="1CD481E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规范性文件</w:t>
            </w:r>
          </w:p>
        </w:tc>
        <w:tc>
          <w:tcPr>
            <w:tcW w:w="1905" w:type="dxa"/>
            <w:gridSpan w:val="2"/>
            <w:tcBorders>
              <w:top w:val="nil"/>
              <w:left w:val="nil"/>
              <w:bottom w:val="single" w:color="auto" w:sz="6" w:space="0"/>
              <w:right w:val="single" w:color="auto" w:sz="6" w:space="0"/>
            </w:tcBorders>
            <w:vAlign w:val="center"/>
          </w:tcPr>
          <w:p w14:paraId="79EEF04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1</w:t>
            </w:r>
          </w:p>
        </w:tc>
        <w:tc>
          <w:tcPr>
            <w:tcW w:w="1485" w:type="dxa"/>
            <w:tcBorders>
              <w:top w:val="nil"/>
              <w:left w:val="nil"/>
              <w:bottom w:val="single" w:color="auto" w:sz="6" w:space="0"/>
              <w:right w:val="single" w:color="auto" w:sz="6" w:space="0"/>
            </w:tcBorders>
            <w:vAlign w:val="center"/>
          </w:tcPr>
          <w:p w14:paraId="6F068340">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2</w:t>
            </w:r>
            <w:bookmarkStart w:id="0" w:name="_GoBack"/>
            <w:bookmarkEnd w:id="0"/>
          </w:p>
        </w:tc>
        <w:tc>
          <w:tcPr>
            <w:tcW w:w="2053" w:type="dxa"/>
            <w:tcBorders>
              <w:top w:val="nil"/>
              <w:left w:val="nil"/>
              <w:bottom w:val="single" w:color="auto" w:sz="6" w:space="0"/>
              <w:right w:val="single" w:color="auto" w:sz="6" w:space="0"/>
            </w:tcBorders>
            <w:vAlign w:val="center"/>
          </w:tcPr>
          <w:p w14:paraId="56470F15">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1</w:t>
            </w:r>
          </w:p>
        </w:tc>
      </w:tr>
      <w:tr w14:paraId="7A3458D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vAlign w:val="center"/>
          </w:tcPr>
          <w:p w14:paraId="0A322D11">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第二十条第（五）项</w:t>
            </w:r>
          </w:p>
        </w:tc>
      </w:tr>
      <w:tr w14:paraId="0B38BF8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180" w:type="dxa"/>
            <w:gridSpan w:val="3"/>
            <w:tcBorders>
              <w:top w:val="nil"/>
              <w:left w:val="single" w:color="auto" w:sz="6" w:space="0"/>
              <w:bottom w:val="single" w:color="auto" w:sz="6" w:space="0"/>
              <w:right w:val="single" w:color="auto" w:sz="6" w:space="0"/>
            </w:tcBorders>
            <w:vAlign w:val="center"/>
          </w:tcPr>
          <w:p w14:paraId="225BD285">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5278" w:type="dxa"/>
            <w:gridSpan w:val="3"/>
            <w:tcBorders>
              <w:top w:val="single" w:color="auto" w:sz="6" w:space="0"/>
              <w:left w:val="nil"/>
              <w:bottom w:val="single" w:color="auto" w:sz="6" w:space="0"/>
              <w:right w:val="single" w:color="auto" w:sz="6" w:space="0"/>
            </w:tcBorders>
            <w:vAlign w:val="center"/>
          </w:tcPr>
          <w:p w14:paraId="0B9402C7">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本年处理决定数量</w:t>
            </w:r>
          </w:p>
        </w:tc>
      </w:tr>
      <w:tr w14:paraId="36433AC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17" w:hRule="atLeast"/>
        </w:trPr>
        <w:tc>
          <w:tcPr>
            <w:tcW w:w="3180" w:type="dxa"/>
            <w:gridSpan w:val="3"/>
            <w:tcBorders>
              <w:top w:val="nil"/>
              <w:left w:val="single" w:color="auto" w:sz="6" w:space="0"/>
              <w:bottom w:val="single" w:color="auto" w:sz="6" w:space="0"/>
              <w:right w:val="single" w:color="auto" w:sz="6" w:space="0"/>
            </w:tcBorders>
            <w:vAlign w:val="center"/>
          </w:tcPr>
          <w:p w14:paraId="417123A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行政许可</w:t>
            </w:r>
          </w:p>
        </w:tc>
        <w:tc>
          <w:tcPr>
            <w:tcW w:w="5278" w:type="dxa"/>
            <w:gridSpan w:val="3"/>
            <w:tcBorders>
              <w:top w:val="nil"/>
              <w:left w:val="nil"/>
              <w:bottom w:val="single" w:color="auto" w:sz="6" w:space="0"/>
              <w:right w:val="single" w:color="auto" w:sz="6" w:space="0"/>
            </w:tcBorders>
            <w:vAlign w:val="center"/>
          </w:tcPr>
          <w:p w14:paraId="73E941A7">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29D8D43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vAlign w:val="center"/>
          </w:tcPr>
          <w:p w14:paraId="669203A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第二十条第（六）项</w:t>
            </w:r>
          </w:p>
        </w:tc>
      </w:tr>
      <w:tr w14:paraId="7732392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vAlign w:val="center"/>
          </w:tcPr>
          <w:p w14:paraId="7B1C8273">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6328" w:type="dxa"/>
            <w:gridSpan w:val="5"/>
            <w:tcBorders>
              <w:top w:val="single" w:color="auto" w:sz="6" w:space="0"/>
              <w:left w:val="nil"/>
              <w:bottom w:val="single" w:color="auto" w:sz="6" w:space="0"/>
              <w:right w:val="single" w:color="auto" w:sz="6" w:space="0"/>
            </w:tcBorders>
            <w:vAlign w:val="center"/>
          </w:tcPr>
          <w:p w14:paraId="62FF079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本年处理决定数量</w:t>
            </w:r>
          </w:p>
        </w:tc>
      </w:tr>
      <w:tr w14:paraId="6091729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vAlign w:val="center"/>
          </w:tcPr>
          <w:p w14:paraId="1759D983">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行政处罚</w:t>
            </w:r>
          </w:p>
        </w:tc>
        <w:tc>
          <w:tcPr>
            <w:tcW w:w="6328" w:type="dxa"/>
            <w:gridSpan w:val="5"/>
            <w:tcBorders>
              <w:top w:val="nil"/>
              <w:left w:val="nil"/>
              <w:bottom w:val="single" w:color="auto" w:sz="6" w:space="0"/>
              <w:right w:val="single" w:color="auto" w:sz="6" w:space="0"/>
            </w:tcBorders>
            <w:vAlign w:val="center"/>
          </w:tcPr>
          <w:p w14:paraId="0AD3BA2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2EA5E19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 w:hRule="atLeast"/>
        </w:trPr>
        <w:tc>
          <w:tcPr>
            <w:tcW w:w="2130" w:type="dxa"/>
            <w:tcBorders>
              <w:top w:val="nil"/>
              <w:left w:val="single" w:color="auto" w:sz="6" w:space="0"/>
              <w:bottom w:val="single" w:color="auto" w:sz="6" w:space="0"/>
              <w:right w:val="single" w:color="auto" w:sz="6" w:space="0"/>
            </w:tcBorders>
            <w:vAlign w:val="center"/>
          </w:tcPr>
          <w:p w14:paraId="17D57803">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行政强制</w:t>
            </w:r>
          </w:p>
        </w:tc>
        <w:tc>
          <w:tcPr>
            <w:tcW w:w="6328" w:type="dxa"/>
            <w:gridSpan w:val="5"/>
            <w:tcBorders>
              <w:top w:val="nil"/>
              <w:left w:val="nil"/>
              <w:bottom w:val="single" w:color="auto" w:sz="6" w:space="0"/>
              <w:right w:val="single" w:color="auto" w:sz="6" w:space="0"/>
            </w:tcBorders>
            <w:vAlign w:val="center"/>
          </w:tcPr>
          <w:p w14:paraId="27B45E67">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61F4CE1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vAlign w:val="center"/>
          </w:tcPr>
          <w:p w14:paraId="31300D72">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第二十条第（八）项</w:t>
            </w:r>
          </w:p>
        </w:tc>
      </w:tr>
      <w:tr w14:paraId="15854D8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vAlign w:val="center"/>
          </w:tcPr>
          <w:p w14:paraId="5B3F768B">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6328" w:type="dxa"/>
            <w:gridSpan w:val="5"/>
            <w:tcBorders>
              <w:top w:val="single" w:color="auto" w:sz="6" w:space="0"/>
              <w:left w:val="nil"/>
              <w:bottom w:val="single" w:color="auto" w:sz="6" w:space="0"/>
              <w:right w:val="single" w:color="auto" w:sz="6" w:space="0"/>
            </w:tcBorders>
            <w:vAlign w:val="center"/>
          </w:tcPr>
          <w:p w14:paraId="4EF3E0EF">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本年收费金额（单位：万元）</w:t>
            </w:r>
          </w:p>
        </w:tc>
      </w:tr>
      <w:tr w14:paraId="7AB7497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vAlign w:val="center"/>
          </w:tcPr>
          <w:p w14:paraId="5059086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行政事业性收费</w:t>
            </w:r>
          </w:p>
        </w:tc>
        <w:tc>
          <w:tcPr>
            <w:tcW w:w="6328" w:type="dxa"/>
            <w:gridSpan w:val="5"/>
            <w:tcBorders>
              <w:top w:val="nil"/>
              <w:left w:val="nil"/>
              <w:bottom w:val="single" w:color="auto" w:sz="6" w:space="0"/>
              <w:right w:val="single" w:color="auto" w:sz="6" w:space="0"/>
            </w:tcBorders>
            <w:vAlign w:val="center"/>
          </w:tcPr>
          <w:p w14:paraId="3D1EAC3A">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r>
    </w:tbl>
    <w:p w14:paraId="18068808">
      <w:pPr>
        <w:pStyle w:val="5"/>
        <w:wordWrap/>
        <w:adjustRightInd/>
        <w:snapToGrid/>
        <w:spacing w:line="600" w:lineRule="exact"/>
        <w:ind w:left="0" w:leftChars="0" w:firstLine="0" w:firstLineChars="0"/>
        <w:textAlignment w:val="auto"/>
        <w:rPr>
          <w:rFonts w:hint="eastAsia"/>
          <w:sz w:val="32"/>
          <w:szCs w:val="32"/>
          <w:lang w:val="en-US" w:eastAsia="zh-CN"/>
        </w:rPr>
      </w:pPr>
    </w:p>
    <w:p w14:paraId="34395279">
      <w:pPr>
        <w:numPr>
          <w:ilvl w:val="0"/>
          <w:numId w:val="0"/>
        </w:numPr>
        <w:wordWrap/>
        <w:adjustRightInd/>
        <w:snapToGrid/>
        <w:spacing w:line="600" w:lineRule="exact"/>
        <w:ind w:firstLine="640" w:firstLine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三、收到和处理政府信息公开申请情况</w:t>
      </w:r>
    </w:p>
    <w:tbl>
      <w:tblPr>
        <w:tblStyle w:val="9"/>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Layout w:type="fixed"/>
        <w:tblCellMar>
          <w:top w:w="15" w:type="dxa"/>
          <w:left w:w="15" w:type="dxa"/>
          <w:bottom w:w="15" w:type="dxa"/>
          <w:right w:w="15" w:type="dxa"/>
        </w:tblCellMar>
      </w:tblPr>
      <w:tblGrid>
        <w:gridCol w:w="716"/>
        <w:gridCol w:w="880"/>
        <w:gridCol w:w="2507"/>
        <w:gridCol w:w="785"/>
        <w:gridCol w:w="703"/>
        <w:gridCol w:w="703"/>
        <w:gridCol w:w="900"/>
        <w:gridCol w:w="900"/>
        <w:gridCol w:w="434"/>
        <w:gridCol w:w="543"/>
      </w:tblGrid>
      <w:tr w14:paraId="0905F39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4103" w:type="dxa"/>
            <w:gridSpan w:val="3"/>
            <w:vMerge w:val="restart"/>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7FF13645">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（本列数据的勾稽关系为：第一项加第二项之和，等于第三项加第四项之和）</w:t>
            </w:r>
          </w:p>
        </w:tc>
        <w:tc>
          <w:tcPr>
            <w:tcW w:w="4968" w:type="dxa"/>
            <w:gridSpan w:val="7"/>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DC00D6F">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申请人情况</w:t>
            </w:r>
          </w:p>
        </w:tc>
      </w:tr>
      <w:tr w14:paraId="4E603CF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4103" w:type="dxa"/>
            <w:gridSpan w:val="3"/>
            <w:vMerge w:val="continue"/>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48E7528B">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785" w:type="dxa"/>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5CDE7BE">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自然人</w:t>
            </w:r>
          </w:p>
        </w:tc>
        <w:tc>
          <w:tcPr>
            <w:tcW w:w="3640" w:type="dxa"/>
            <w:gridSpan w:val="5"/>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2C19440">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法人或其他组织</w:t>
            </w:r>
          </w:p>
        </w:tc>
        <w:tc>
          <w:tcPr>
            <w:tcW w:w="543" w:type="dxa"/>
            <w:vMerge w:val="restar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0C26BF1">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r>
      <w:tr w14:paraId="6612602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4103" w:type="dxa"/>
            <w:gridSpan w:val="3"/>
            <w:vMerge w:val="continue"/>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685633AF">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785"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8B31A4E">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A217D47">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商业企业</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8BBCF0E">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科研机构</w:t>
            </w:r>
          </w:p>
        </w:tc>
        <w:tc>
          <w:tcPr>
            <w:tcW w:w="900"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0A12AD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社会公益组织</w:t>
            </w:r>
          </w:p>
        </w:tc>
        <w:tc>
          <w:tcPr>
            <w:tcW w:w="900"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44CDA0F">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法律服务机构</w:t>
            </w:r>
          </w:p>
        </w:tc>
        <w:tc>
          <w:tcPr>
            <w:tcW w:w="434"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62C4981">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tc>
        <w:tc>
          <w:tcPr>
            <w:tcW w:w="543" w:type="dxa"/>
            <w:vMerge w:val="continue"/>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B79B96E">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r>
      <w:tr w14:paraId="02A15A2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1636A25">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一、本年新收政府信息公开申请数量</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73E3E80">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19</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8D5AA92">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A046ED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085FC6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C310F2E">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F38C9BF">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46A1FB7">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19</w:t>
            </w:r>
          </w:p>
        </w:tc>
      </w:tr>
      <w:tr w14:paraId="4ED3648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1C47430">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二、上年结转政府信息公开申请数量</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3ED0D4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29C349E">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038D9A1">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5DE8722">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2297383">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BD2D12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5CFFD5E">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0687EF7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restar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0D27363">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三、本年度办理结果</w:t>
            </w:r>
          </w:p>
        </w:tc>
        <w:tc>
          <w:tcPr>
            <w:tcW w:w="3387"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CA96DD1">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（一）予已公开</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C32325B">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1</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1BA7DA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907D7B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0B86585">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DC52097">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21D655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96C9A43">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1</w:t>
            </w:r>
          </w:p>
        </w:tc>
      </w:tr>
      <w:tr w14:paraId="501E4E1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F8D5480">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3387"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6069135">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（二）部分公开（区分处理的，只计这一情形，不计其他情形）</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DAEF413">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7</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C1A249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2B92C6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85EAAB1">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7BD6D5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9E4B22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55846D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7</w:t>
            </w:r>
          </w:p>
        </w:tc>
      </w:tr>
      <w:tr w14:paraId="262A9D5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D62A37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1362CB0">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（三）</w:t>
            </w:r>
          </w:p>
          <w:p w14:paraId="1E6E5C2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不予</w:t>
            </w:r>
          </w:p>
          <w:p w14:paraId="01DDABEE">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公开</w:t>
            </w: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C1A136C">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1.属于国家秘密</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87DB847">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9033D22">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DB2B171">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4CDF39E">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49FAC0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1F29E00">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4CF9F0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r>
      <w:tr w14:paraId="6F9C7B5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6AD07CA0">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786336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3E55E28">
            <w:pPr>
              <w:pStyle w:val="8"/>
              <w:widowControl/>
              <w:numPr>
                <w:ilvl w:val="0"/>
                <w:numId w:val="2"/>
              </w:numPr>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其他法律行政法规禁止公开</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02293B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900EA3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09740E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7005F67">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9A8DFE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E95872C">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3406A2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2D3C8BE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9B54DFB">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D0CF39A">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16B08A1">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3.危及“三安全一稳定”</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C75255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D1BD2B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47FAC8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25ED4DF">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10C7E72">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2F7012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1DDA23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cs="宋体"/>
                <w:sz w:val="18"/>
                <w:szCs w:val="18"/>
                <w:lang w:val="en-US" w:eastAsia="zh-CN"/>
              </w:rPr>
              <w:t>0</w:t>
            </w:r>
          </w:p>
        </w:tc>
      </w:tr>
      <w:tr w14:paraId="47C172B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231EBAA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76F3505">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12356E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4.保护第三方合法权益</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80811E2">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1</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85729C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8F910F3">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9B05C65">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CEE4AD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D65368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C65B50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cs="宋体"/>
                <w:sz w:val="18"/>
                <w:szCs w:val="18"/>
                <w:lang w:val="en-US" w:eastAsia="zh-CN"/>
              </w:rPr>
              <w:t>1</w:t>
            </w:r>
          </w:p>
        </w:tc>
      </w:tr>
      <w:tr w14:paraId="40AABDD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212882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B130E6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095D783">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5.属于三类内部事务信息</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DBE48EC">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53A5AAB">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F5BBF1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CEA2045">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F7B216C">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CF4B9D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1B17A81">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r>
      <w:tr w14:paraId="6798E59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E62F230">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3C1D5C5">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2C4693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6.属于四类过程性信息</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5749C4A">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2B3BB73">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D0CC5A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5546DC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6F1A17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7B55E9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E5EA8F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54285D6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5CAE931">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EA6F6A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E8BD277">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7.属于行政执法案卷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9E5A1F1">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2741050">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5E4F2A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C76122B">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B854DC0">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091E0BE">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6487DFB">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7321CD2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0FC90012">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D21BC6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1392EF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8.属于行政查询事项</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1B6DD4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B5185DE">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D2172F5">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F4990E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B2E2F0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1FD0865">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2C67B0F">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1EC7C62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C09B56E">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D7010C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（四）</w:t>
            </w:r>
          </w:p>
          <w:p w14:paraId="5E1CA37B">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无法</w:t>
            </w:r>
          </w:p>
          <w:p w14:paraId="170D4FB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提供</w:t>
            </w: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0DBDADE">
            <w:pPr>
              <w:pStyle w:val="8"/>
              <w:widowControl/>
              <w:numPr>
                <w:ilvl w:val="0"/>
                <w:numId w:val="3"/>
              </w:numPr>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本机关不掌握相关政府</w:t>
            </w:r>
          </w:p>
          <w:p w14:paraId="2F962DC9">
            <w:pPr>
              <w:pStyle w:val="8"/>
              <w:widowControl/>
              <w:numPr>
                <w:ilvl w:val="0"/>
                <w:numId w:val="0"/>
              </w:numPr>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Chars="0" w:right="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58AE00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10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1FD0B70">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87BB71C">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8F2F4EA">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DA8E113">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10AD925">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4795AA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10</w:t>
            </w:r>
          </w:p>
        </w:tc>
      </w:tr>
      <w:tr w14:paraId="09B311E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038548CC">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642268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EE8B95B">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2.没有现成信息需要另行制作</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842B23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067EBC1">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FD1C45C">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85CC70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EE96F4F">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7EADB97">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7F4F92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r>
      <w:tr w14:paraId="3CA3F3A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31BCD9B">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3B3D51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2A1FDB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3.补正后申请内容仍不明确</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C69C363">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C9C1BB5">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7E8B07F">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81E1F51">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FDA7AA7">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B236F4A">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DB2203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28FF3F0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9DBBCA5">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E2733EC">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（五）</w:t>
            </w:r>
          </w:p>
          <w:p w14:paraId="6F3897A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不予</w:t>
            </w:r>
          </w:p>
          <w:p w14:paraId="6F5E3BB3">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处理</w:t>
            </w: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133A92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1.信访举报投诉类申请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7DB520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0A899AE">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A7924F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7A21C62">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C84FF83">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285A67B">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571E741">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4A5EB2F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7A35B565">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5718B71">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1FD828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2.重复申请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47ABFF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C35AE0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A13BBE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72C263E">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A206FF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B84A85F">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384478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6607482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A0040D2">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BDDFD63">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4207F87">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3.要求提供公开出版物</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BC91EDE">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9541E7C">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2CE581A">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8897ECA">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8AC5FB3">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B3D0BA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605288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2797B67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05D8423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B40DC23">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2FAEDC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4.无正当理由大量反复申请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A84F635">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31785BE">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C06E570">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640D29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A8CE453">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A6D3AC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1AC198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14E4624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530C0EA">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7DCB042">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0F48CC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5.要求行政机关确认或重新出具已获取信息</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F9D052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0312150">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2C229B7">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4A49B6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CBB3890">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DCDDC4C">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125688E">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0DDD883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2E213BEE">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restart"/>
            <w:tcBorders>
              <w:top w:val="nil"/>
              <w:left w:val="nil"/>
              <w:right w:val="single" w:color="auto" w:sz="8" w:space="0"/>
            </w:tcBorders>
            <w:shd w:val="clear" w:color="auto" w:fill="FFFFFF"/>
            <w:tcMar>
              <w:top w:w="0" w:type="dxa"/>
              <w:left w:w="108" w:type="dxa"/>
              <w:bottom w:w="0" w:type="dxa"/>
              <w:right w:w="108" w:type="dxa"/>
            </w:tcMar>
            <w:vAlign w:val="center"/>
          </w:tcPr>
          <w:p w14:paraId="3C33F5A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（六）</w:t>
            </w:r>
          </w:p>
          <w:p w14:paraId="45527EB5">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14:paraId="09033B4B">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处理</w:t>
            </w: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073ECCC">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1.申请人无正当理由逾期不补正、行政机关不再处理其政府信息公开申请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7B673CC">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8135897">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2260E7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D96F89E">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78E8B17">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98764FB">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8863135">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362859C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0EE4582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left w:val="nil"/>
              <w:right w:val="single" w:color="auto" w:sz="8" w:space="0"/>
            </w:tcBorders>
            <w:shd w:val="clear" w:color="auto" w:fill="FFFFFF"/>
            <w:tcMar>
              <w:top w:w="0" w:type="dxa"/>
              <w:left w:w="108" w:type="dxa"/>
              <w:bottom w:w="0" w:type="dxa"/>
              <w:right w:w="108" w:type="dxa"/>
            </w:tcMar>
            <w:vAlign w:val="center"/>
          </w:tcPr>
          <w:p w14:paraId="609D7E3A">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9702387">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2.申请人逾期未按收费通知要求缴纳费用、行政机关不再处理其政府信息公开申请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A65710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7DF8F8F">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82CADE7">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F0568C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119B500">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374E35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507BDD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66CB452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3646021">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8E240F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93B292C">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3.其他</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32FF9E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AE9DAFF">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6F3045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F396621">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F85856F">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5CCE95F">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7A793DC">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6036D89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324"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2EDA7DCE">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3387"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FE3B69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（七）总计</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DC0587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19</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D526EF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AD3150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D1F0D37">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8F3730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2C7111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E9A411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19</w:t>
            </w:r>
          </w:p>
        </w:tc>
      </w:tr>
      <w:tr w14:paraId="79C7584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4F8FE2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四、结转下年度继续办理</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DE2157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F0293CA">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6CBC19B">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78C0457">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7F3C53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C09AE6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FABE3F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r>
    </w:tbl>
    <w:p w14:paraId="35C86E25">
      <w:pPr>
        <w:pStyle w:val="5"/>
        <w:wordWrap/>
        <w:adjustRightInd/>
        <w:snapToGrid/>
        <w:spacing w:line="600" w:lineRule="exact"/>
        <w:ind w:left="0" w:leftChars="0" w:firstLine="0" w:firstLineChars="0"/>
        <w:textAlignment w:val="auto"/>
        <w:rPr>
          <w:rFonts w:hint="eastAsia"/>
          <w:lang w:val="en-US" w:eastAsia="zh-CN"/>
        </w:rPr>
      </w:pPr>
    </w:p>
    <w:p w14:paraId="38F8538D">
      <w:pPr>
        <w:widowControl w:val="0"/>
        <w:numPr>
          <w:ilvl w:val="0"/>
          <w:numId w:val="0"/>
        </w:numPr>
        <w:wordWrap/>
        <w:adjustRightInd/>
        <w:snapToGrid/>
        <w:spacing w:line="600" w:lineRule="exact"/>
        <w:ind w:left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四、政府信息公开行政复议、行政诉讼情况</w:t>
      </w:r>
    </w:p>
    <w:tbl>
      <w:tblPr>
        <w:tblStyle w:val="9"/>
        <w:tblW w:w="8642"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540"/>
        <w:gridCol w:w="540"/>
        <w:gridCol w:w="495"/>
        <w:gridCol w:w="549"/>
        <w:gridCol w:w="548"/>
        <w:gridCol w:w="682"/>
        <w:gridCol w:w="600"/>
        <w:gridCol w:w="600"/>
        <w:gridCol w:w="600"/>
        <w:gridCol w:w="503"/>
        <w:gridCol w:w="712"/>
        <w:gridCol w:w="600"/>
        <w:gridCol w:w="600"/>
        <w:gridCol w:w="600"/>
        <w:gridCol w:w="473"/>
      </w:tblGrid>
      <w:tr w14:paraId="1F9B6A9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2672" w:type="dxa"/>
            <w:gridSpan w:val="5"/>
            <w:tcBorders>
              <w:top w:val="single" w:color="auto" w:sz="6" w:space="0"/>
              <w:left w:val="single" w:color="auto" w:sz="6" w:space="0"/>
              <w:bottom w:val="single" w:color="auto" w:sz="6" w:space="0"/>
              <w:right w:val="single" w:color="auto" w:sz="6" w:space="0"/>
            </w:tcBorders>
            <w:vAlign w:val="center"/>
          </w:tcPr>
          <w:p w14:paraId="522CD3B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行政复议</w:t>
            </w:r>
          </w:p>
        </w:tc>
        <w:tc>
          <w:tcPr>
            <w:tcW w:w="5970" w:type="dxa"/>
            <w:gridSpan w:val="10"/>
            <w:tcBorders>
              <w:top w:val="single" w:color="auto" w:sz="6" w:space="0"/>
              <w:left w:val="nil"/>
              <w:bottom w:val="single" w:color="auto" w:sz="6" w:space="0"/>
              <w:right w:val="single" w:color="auto" w:sz="6" w:space="0"/>
            </w:tcBorders>
            <w:vAlign w:val="center"/>
          </w:tcPr>
          <w:p w14:paraId="2AF18101">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行政诉讼</w:t>
            </w:r>
          </w:p>
        </w:tc>
      </w:tr>
      <w:tr w14:paraId="433A720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40" w:type="dxa"/>
            <w:vMerge w:val="restart"/>
            <w:tcBorders>
              <w:top w:val="nil"/>
              <w:left w:val="single" w:color="auto" w:sz="6" w:space="0"/>
              <w:bottom w:val="single" w:color="auto" w:sz="6" w:space="0"/>
              <w:right w:val="single" w:color="auto" w:sz="6" w:space="0"/>
            </w:tcBorders>
            <w:vAlign w:val="center"/>
          </w:tcPr>
          <w:p w14:paraId="2C86E32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结果维持</w:t>
            </w:r>
          </w:p>
        </w:tc>
        <w:tc>
          <w:tcPr>
            <w:tcW w:w="540" w:type="dxa"/>
            <w:vMerge w:val="restart"/>
            <w:tcBorders>
              <w:top w:val="nil"/>
              <w:left w:val="nil"/>
              <w:bottom w:val="single" w:color="auto" w:sz="6" w:space="0"/>
              <w:right w:val="single" w:color="auto" w:sz="6" w:space="0"/>
            </w:tcBorders>
            <w:vAlign w:val="center"/>
          </w:tcPr>
          <w:p w14:paraId="6B7D7FAC">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结果纠正</w:t>
            </w:r>
          </w:p>
        </w:tc>
        <w:tc>
          <w:tcPr>
            <w:tcW w:w="495" w:type="dxa"/>
            <w:vMerge w:val="restart"/>
            <w:tcBorders>
              <w:top w:val="single" w:color="auto" w:sz="6" w:space="0"/>
              <w:left w:val="nil"/>
              <w:bottom w:val="single" w:color="auto" w:sz="6" w:space="0"/>
              <w:right w:val="single" w:color="auto" w:sz="6" w:space="0"/>
            </w:tcBorders>
            <w:vAlign w:val="center"/>
          </w:tcPr>
          <w:p w14:paraId="608DDCA0">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其他结果</w:t>
            </w:r>
          </w:p>
        </w:tc>
        <w:tc>
          <w:tcPr>
            <w:tcW w:w="549" w:type="dxa"/>
            <w:vMerge w:val="restart"/>
            <w:tcBorders>
              <w:top w:val="single" w:color="auto" w:sz="6" w:space="0"/>
              <w:left w:val="nil"/>
              <w:bottom w:val="single" w:color="auto" w:sz="6" w:space="0"/>
              <w:right w:val="single" w:color="auto" w:sz="6" w:space="0"/>
            </w:tcBorders>
            <w:vAlign w:val="center"/>
          </w:tcPr>
          <w:p w14:paraId="27F5441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尚未审结</w:t>
            </w:r>
          </w:p>
        </w:tc>
        <w:tc>
          <w:tcPr>
            <w:tcW w:w="548" w:type="dxa"/>
            <w:vMerge w:val="restart"/>
            <w:tcBorders>
              <w:top w:val="single" w:color="auto" w:sz="6" w:space="0"/>
              <w:left w:val="nil"/>
              <w:bottom w:val="single" w:color="auto" w:sz="6" w:space="0"/>
              <w:right w:val="single" w:color="auto" w:sz="6" w:space="0"/>
            </w:tcBorders>
            <w:vAlign w:val="center"/>
          </w:tcPr>
          <w:p w14:paraId="2E9A81C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c>
          <w:tcPr>
            <w:tcW w:w="2985" w:type="dxa"/>
            <w:gridSpan w:val="5"/>
            <w:tcBorders>
              <w:top w:val="single" w:color="auto" w:sz="6" w:space="0"/>
              <w:left w:val="nil"/>
              <w:bottom w:val="single" w:color="auto" w:sz="6" w:space="0"/>
              <w:right w:val="single" w:color="auto" w:sz="6" w:space="0"/>
            </w:tcBorders>
            <w:vAlign w:val="center"/>
          </w:tcPr>
          <w:p w14:paraId="0D35BE5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未经复议直接起诉</w:t>
            </w:r>
          </w:p>
        </w:tc>
        <w:tc>
          <w:tcPr>
            <w:tcW w:w="2985" w:type="dxa"/>
            <w:gridSpan w:val="5"/>
            <w:tcBorders>
              <w:top w:val="single" w:color="auto" w:sz="6" w:space="0"/>
              <w:left w:val="nil"/>
              <w:bottom w:val="single" w:color="auto" w:sz="6" w:space="0"/>
              <w:right w:val="single" w:color="auto" w:sz="6" w:space="0"/>
            </w:tcBorders>
            <w:vAlign w:val="center"/>
          </w:tcPr>
          <w:p w14:paraId="56EB960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复议后起诉</w:t>
            </w:r>
          </w:p>
        </w:tc>
      </w:tr>
      <w:tr w14:paraId="0F61FFA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40" w:type="dxa"/>
            <w:vMerge w:val="continue"/>
            <w:tcBorders>
              <w:top w:val="nil"/>
              <w:left w:val="single" w:color="auto" w:sz="6" w:space="0"/>
              <w:bottom w:val="single" w:color="auto" w:sz="6" w:space="0"/>
              <w:right w:val="single" w:color="auto" w:sz="6" w:space="0"/>
            </w:tcBorders>
            <w:vAlign w:val="center"/>
          </w:tcPr>
          <w:p w14:paraId="2218231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540" w:type="dxa"/>
            <w:vMerge w:val="continue"/>
            <w:tcBorders>
              <w:top w:val="nil"/>
              <w:left w:val="nil"/>
              <w:bottom w:val="single" w:color="auto" w:sz="6" w:space="0"/>
              <w:right w:val="single" w:color="auto" w:sz="6" w:space="0"/>
            </w:tcBorders>
            <w:vAlign w:val="center"/>
          </w:tcPr>
          <w:p w14:paraId="08F668E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495" w:type="dxa"/>
            <w:vMerge w:val="continue"/>
            <w:tcBorders>
              <w:top w:val="single" w:color="auto" w:sz="6" w:space="0"/>
              <w:left w:val="nil"/>
              <w:bottom w:val="single" w:color="auto" w:sz="6" w:space="0"/>
              <w:right w:val="single" w:color="auto" w:sz="6" w:space="0"/>
            </w:tcBorders>
            <w:vAlign w:val="center"/>
          </w:tcPr>
          <w:p w14:paraId="5D27595C">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549" w:type="dxa"/>
            <w:vMerge w:val="continue"/>
            <w:tcBorders>
              <w:top w:val="single" w:color="auto" w:sz="6" w:space="0"/>
              <w:left w:val="nil"/>
              <w:bottom w:val="single" w:color="auto" w:sz="6" w:space="0"/>
              <w:right w:val="single" w:color="auto" w:sz="6" w:space="0"/>
            </w:tcBorders>
            <w:vAlign w:val="center"/>
          </w:tcPr>
          <w:p w14:paraId="54CB4C2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548" w:type="dxa"/>
            <w:vMerge w:val="continue"/>
            <w:tcBorders>
              <w:top w:val="single" w:color="auto" w:sz="6" w:space="0"/>
              <w:left w:val="nil"/>
              <w:bottom w:val="single" w:color="auto" w:sz="6" w:space="0"/>
              <w:right w:val="single" w:color="auto" w:sz="6" w:space="0"/>
            </w:tcBorders>
            <w:vAlign w:val="center"/>
          </w:tcPr>
          <w:p w14:paraId="3B1387AF">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682" w:type="dxa"/>
            <w:tcBorders>
              <w:top w:val="nil"/>
              <w:left w:val="nil"/>
              <w:bottom w:val="single" w:color="auto" w:sz="6" w:space="0"/>
              <w:right w:val="single" w:color="auto" w:sz="6" w:space="0"/>
            </w:tcBorders>
            <w:vAlign w:val="center"/>
          </w:tcPr>
          <w:p w14:paraId="086F7732">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14:paraId="10006315">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维持</w:t>
            </w:r>
          </w:p>
        </w:tc>
        <w:tc>
          <w:tcPr>
            <w:tcW w:w="600" w:type="dxa"/>
            <w:tcBorders>
              <w:top w:val="nil"/>
              <w:left w:val="nil"/>
              <w:bottom w:val="single" w:color="auto" w:sz="6" w:space="0"/>
              <w:right w:val="single" w:color="auto" w:sz="6" w:space="0"/>
            </w:tcBorders>
            <w:vAlign w:val="center"/>
          </w:tcPr>
          <w:p w14:paraId="7A6E68C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14:paraId="5E27800F">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纠正</w:t>
            </w:r>
          </w:p>
        </w:tc>
        <w:tc>
          <w:tcPr>
            <w:tcW w:w="600" w:type="dxa"/>
            <w:tcBorders>
              <w:top w:val="single" w:color="auto" w:sz="6" w:space="0"/>
              <w:left w:val="nil"/>
              <w:bottom w:val="single" w:color="auto" w:sz="6" w:space="0"/>
              <w:right w:val="single" w:color="auto" w:sz="6" w:space="0"/>
            </w:tcBorders>
            <w:vAlign w:val="center"/>
          </w:tcPr>
          <w:p w14:paraId="06D9387F">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14:paraId="627949A2">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tc>
        <w:tc>
          <w:tcPr>
            <w:tcW w:w="600" w:type="dxa"/>
            <w:tcBorders>
              <w:top w:val="single" w:color="auto" w:sz="6" w:space="0"/>
              <w:left w:val="nil"/>
              <w:bottom w:val="single" w:color="auto" w:sz="6" w:space="0"/>
              <w:right w:val="single" w:color="auto" w:sz="6" w:space="0"/>
            </w:tcBorders>
            <w:vAlign w:val="center"/>
          </w:tcPr>
          <w:p w14:paraId="417B12D5">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w:t>
            </w:r>
          </w:p>
          <w:p w14:paraId="16194F0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审结</w:t>
            </w:r>
          </w:p>
        </w:tc>
        <w:tc>
          <w:tcPr>
            <w:tcW w:w="503" w:type="dxa"/>
            <w:tcBorders>
              <w:top w:val="single" w:color="auto" w:sz="6" w:space="0"/>
              <w:left w:val="nil"/>
              <w:bottom w:val="single" w:color="auto" w:sz="6" w:space="0"/>
              <w:right w:val="single" w:color="auto" w:sz="6" w:space="0"/>
            </w:tcBorders>
            <w:vAlign w:val="center"/>
          </w:tcPr>
          <w:p w14:paraId="025748F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c>
          <w:tcPr>
            <w:tcW w:w="712" w:type="dxa"/>
            <w:tcBorders>
              <w:top w:val="single" w:color="auto" w:sz="6" w:space="0"/>
              <w:left w:val="nil"/>
              <w:bottom w:val="single" w:color="auto" w:sz="6" w:space="0"/>
              <w:right w:val="single" w:color="auto" w:sz="6" w:space="0"/>
            </w:tcBorders>
            <w:vAlign w:val="center"/>
          </w:tcPr>
          <w:p w14:paraId="3C0C9AFC">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14:paraId="353FFB7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维持</w:t>
            </w:r>
          </w:p>
        </w:tc>
        <w:tc>
          <w:tcPr>
            <w:tcW w:w="600" w:type="dxa"/>
            <w:tcBorders>
              <w:top w:val="single" w:color="auto" w:sz="6" w:space="0"/>
              <w:left w:val="nil"/>
              <w:bottom w:val="single" w:color="auto" w:sz="6" w:space="0"/>
              <w:right w:val="single" w:color="auto" w:sz="6" w:space="0"/>
            </w:tcBorders>
            <w:vAlign w:val="center"/>
          </w:tcPr>
          <w:p w14:paraId="7D64FBE0">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14:paraId="4DC5B5C9">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纠正</w:t>
            </w:r>
          </w:p>
        </w:tc>
        <w:tc>
          <w:tcPr>
            <w:tcW w:w="600" w:type="dxa"/>
            <w:tcBorders>
              <w:top w:val="single" w:color="auto" w:sz="6" w:space="0"/>
              <w:left w:val="nil"/>
              <w:bottom w:val="single" w:color="auto" w:sz="6" w:space="0"/>
              <w:right w:val="single" w:color="auto" w:sz="6" w:space="0"/>
            </w:tcBorders>
            <w:vAlign w:val="center"/>
          </w:tcPr>
          <w:p w14:paraId="7C5C956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14:paraId="7B3AA293">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tc>
        <w:tc>
          <w:tcPr>
            <w:tcW w:w="600" w:type="dxa"/>
            <w:tcBorders>
              <w:top w:val="single" w:color="auto" w:sz="6" w:space="0"/>
              <w:left w:val="nil"/>
              <w:bottom w:val="single" w:color="auto" w:sz="6" w:space="0"/>
              <w:right w:val="single" w:color="auto" w:sz="6" w:space="0"/>
            </w:tcBorders>
            <w:vAlign w:val="center"/>
          </w:tcPr>
          <w:p w14:paraId="619FE828">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w:t>
            </w:r>
          </w:p>
          <w:p w14:paraId="05473ACE">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审结</w:t>
            </w:r>
          </w:p>
        </w:tc>
        <w:tc>
          <w:tcPr>
            <w:tcW w:w="473" w:type="dxa"/>
            <w:tcBorders>
              <w:top w:val="single" w:color="auto" w:sz="6" w:space="0"/>
              <w:left w:val="nil"/>
              <w:bottom w:val="single" w:color="auto" w:sz="6" w:space="0"/>
              <w:right w:val="single" w:color="auto" w:sz="6" w:space="0"/>
            </w:tcBorders>
            <w:vAlign w:val="center"/>
          </w:tcPr>
          <w:p w14:paraId="76EC5E9C">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r>
      <w:tr w14:paraId="31F3256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40" w:type="dxa"/>
            <w:tcBorders>
              <w:top w:val="nil"/>
              <w:left w:val="single" w:color="auto" w:sz="6" w:space="0"/>
              <w:bottom w:val="single" w:color="auto" w:sz="6" w:space="0"/>
              <w:right w:val="single" w:color="auto" w:sz="6" w:space="0"/>
            </w:tcBorders>
            <w:vAlign w:val="center"/>
          </w:tcPr>
          <w:p w14:paraId="2D3FD5CA">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4</w:t>
            </w:r>
          </w:p>
        </w:tc>
        <w:tc>
          <w:tcPr>
            <w:tcW w:w="540" w:type="dxa"/>
            <w:tcBorders>
              <w:top w:val="nil"/>
              <w:left w:val="nil"/>
              <w:bottom w:val="single" w:color="auto" w:sz="6" w:space="0"/>
              <w:right w:val="single" w:color="auto" w:sz="6" w:space="0"/>
            </w:tcBorders>
            <w:vAlign w:val="center"/>
          </w:tcPr>
          <w:p w14:paraId="7C8E13BA">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2</w:t>
            </w:r>
          </w:p>
        </w:tc>
        <w:tc>
          <w:tcPr>
            <w:tcW w:w="495" w:type="dxa"/>
            <w:tcBorders>
              <w:top w:val="nil"/>
              <w:left w:val="nil"/>
              <w:bottom w:val="single" w:color="auto" w:sz="6" w:space="0"/>
              <w:right w:val="single" w:color="auto" w:sz="6" w:space="0"/>
            </w:tcBorders>
            <w:vAlign w:val="center"/>
          </w:tcPr>
          <w:p w14:paraId="4291D96F">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9" w:type="dxa"/>
            <w:tcBorders>
              <w:top w:val="nil"/>
              <w:left w:val="nil"/>
              <w:bottom w:val="single" w:color="auto" w:sz="6" w:space="0"/>
              <w:right w:val="single" w:color="auto" w:sz="6" w:space="0"/>
            </w:tcBorders>
            <w:vAlign w:val="center"/>
          </w:tcPr>
          <w:p w14:paraId="130D8476">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8" w:type="dxa"/>
            <w:tcBorders>
              <w:top w:val="nil"/>
              <w:left w:val="nil"/>
              <w:bottom w:val="single" w:color="auto" w:sz="6" w:space="0"/>
              <w:right w:val="single" w:color="auto" w:sz="6" w:space="0"/>
            </w:tcBorders>
            <w:vAlign w:val="center"/>
          </w:tcPr>
          <w:p w14:paraId="4DDBD582">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6</w:t>
            </w:r>
          </w:p>
        </w:tc>
        <w:tc>
          <w:tcPr>
            <w:tcW w:w="682" w:type="dxa"/>
            <w:tcBorders>
              <w:top w:val="nil"/>
              <w:left w:val="nil"/>
              <w:bottom w:val="single" w:color="auto" w:sz="6" w:space="0"/>
              <w:right w:val="single" w:color="auto" w:sz="6" w:space="0"/>
            </w:tcBorders>
            <w:vAlign w:val="center"/>
          </w:tcPr>
          <w:p w14:paraId="037E14CD">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vAlign w:val="center"/>
          </w:tcPr>
          <w:p w14:paraId="4AB64557">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600" w:type="dxa"/>
            <w:tcBorders>
              <w:top w:val="nil"/>
              <w:left w:val="nil"/>
              <w:bottom w:val="single" w:color="auto" w:sz="6" w:space="0"/>
              <w:right w:val="single" w:color="auto" w:sz="6" w:space="0"/>
            </w:tcBorders>
            <w:vAlign w:val="center"/>
          </w:tcPr>
          <w:p w14:paraId="7FB655C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600" w:type="dxa"/>
            <w:tcBorders>
              <w:top w:val="nil"/>
              <w:left w:val="nil"/>
              <w:bottom w:val="single" w:color="auto" w:sz="6" w:space="0"/>
              <w:right w:val="single" w:color="auto" w:sz="6" w:space="0"/>
            </w:tcBorders>
            <w:vAlign w:val="center"/>
          </w:tcPr>
          <w:p w14:paraId="35AB379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503" w:type="dxa"/>
            <w:tcBorders>
              <w:top w:val="nil"/>
              <w:left w:val="nil"/>
              <w:bottom w:val="single" w:color="auto" w:sz="6" w:space="0"/>
              <w:right w:val="single" w:color="auto" w:sz="6" w:space="0"/>
            </w:tcBorders>
            <w:vAlign w:val="center"/>
          </w:tcPr>
          <w:p w14:paraId="37DD95B5">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712" w:type="dxa"/>
            <w:tcBorders>
              <w:top w:val="nil"/>
              <w:left w:val="nil"/>
              <w:bottom w:val="single" w:color="auto" w:sz="6" w:space="0"/>
              <w:right w:val="single" w:color="auto" w:sz="6" w:space="0"/>
            </w:tcBorders>
            <w:vAlign w:val="center"/>
          </w:tcPr>
          <w:p w14:paraId="0B4B486B">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cs="宋体"/>
                <w:sz w:val="18"/>
                <w:szCs w:val="18"/>
                <w:lang w:val="en-US" w:eastAsia="zh-CN"/>
              </w:rPr>
              <w:t>1</w:t>
            </w:r>
          </w:p>
        </w:tc>
        <w:tc>
          <w:tcPr>
            <w:tcW w:w="600" w:type="dxa"/>
            <w:tcBorders>
              <w:top w:val="nil"/>
              <w:left w:val="nil"/>
              <w:bottom w:val="single" w:color="auto" w:sz="6" w:space="0"/>
              <w:right w:val="single" w:color="auto" w:sz="6" w:space="0"/>
            </w:tcBorders>
            <w:vAlign w:val="center"/>
          </w:tcPr>
          <w:p w14:paraId="60FDCC44">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vAlign w:val="center"/>
          </w:tcPr>
          <w:p w14:paraId="2D844C6F">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vAlign w:val="center"/>
          </w:tcPr>
          <w:p w14:paraId="6A4B7C0C">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473" w:type="dxa"/>
            <w:tcBorders>
              <w:top w:val="nil"/>
              <w:left w:val="nil"/>
              <w:bottom w:val="single" w:color="auto" w:sz="6" w:space="0"/>
              <w:right w:val="single" w:color="auto" w:sz="6" w:space="0"/>
            </w:tcBorders>
            <w:vAlign w:val="center"/>
          </w:tcPr>
          <w:p w14:paraId="3EC2DC5A">
            <w:pPr>
              <w:pStyle w:val="8"/>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1</w:t>
            </w:r>
          </w:p>
        </w:tc>
      </w:tr>
    </w:tbl>
    <w:p w14:paraId="4F7649ED">
      <w:pPr>
        <w:pStyle w:val="5"/>
        <w:wordWrap/>
        <w:adjustRightInd/>
        <w:snapToGrid/>
        <w:spacing w:line="560" w:lineRule="exact"/>
        <w:ind w:left="0" w:leftChars="0" w:firstLine="0" w:firstLineChars="0"/>
        <w:textAlignment w:val="auto"/>
        <w:rPr>
          <w:rFonts w:hint="eastAsia"/>
          <w:lang w:val="en-US" w:eastAsia="zh-CN"/>
        </w:rPr>
      </w:pPr>
    </w:p>
    <w:p w14:paraId="306D6D8C">
      <w:pPr>
        <w:widowControl w:val="0"/>
        <w:numPr>
          <w:ilvl w:val="0"/>
          <w:numId w:val="0"/>
        </w:numPr>
        <w:wordWrap/>
        <w:adjustRightInd/>
        <w:snapToGrid/>
        <w:spacing w:line="600" w:lineRule="exact"/>
        <w:ind w:left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五、存在的问题及改进情况</w:t>
      </w:r>
    </w:p>
    <w:p w14:paraId="5908DE5D">
      <w:pPr>
        <w:widowControl w:val="0"/>
        <w:numPr>
          <w:ilvl w:val="0"/>
          <w:numId w:val="0"/>
        </w:numPr>
        <w:wordWrap/>
        <w:adjustRightInd/>
        <w:snapToGrid/>
        <w:spacing w:line="600" w:lineRule="exact"/>
        <w:ind w:firstLine="640" w:firstLineChars="200"/>
        <w:textAlignment w:val="auto"/>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（一）存在的主要问题</w:t>
      </w:r>
    </w:p>
    <w:p w14:paraId="615616B4">
      <w:pPr>
        <w:widowControl w:val="0"/>
        <w:numPr>
          <w:ilvl w:val="0"/>
          <w:numId w:val="0"/>
        </w:numPr>
        <w:wordWrap/>
        <w:adjustRightInd/>
        <w:snapToGrid/>
        <w:spacing w:line="600" w:lineRule="exact"/>
        <w:ind w:firstLine="640" w:firstLineChars="200"/>
        <w:textAlignment w:val="auto"/>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1. 公开内容深度不足。部分领域信息公开不够细化，尤其是政策解读存在“原文照搬”现象，解读形式单一，对政策背景、核心条款、实施路径的阐释不够通俗易懂，难以满足群众深层次理解需求。</w:t>
      </w:r>
    </w:p>
    <w:p w14:paraId="607120DC">
      <w:pPr>
        <w:widowControl w:val="0"/>
        <w:numPr>
          <w:ilvl w:val="0"/>
          <w:numId w:val="0"/>
        </w:numPr>
        <w:wordWrap/>
        <w:adjustRightInd/>
        <w:snapToGrid/>
        <w:spacing w:line="600" w:lineRule="exact"/>
        <w:ind w:firstLine="640" w:firstLineChars="200"/>
        <w:textAlignment w:val="auto"/>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2. 平台运营水平有待提升。政务新媒体互动功能发挥不充分，对群众留言、咨询的响应速度和互动质量有待提高；政府门户网站部分栏目信息更新时效性存在差异，个别领域信息更新不及时。</w:t>
      </w:r>
    </w:p>
    <w:p w14:paraId="4465361A">
      <w:pPr>
        <w:widowControl w:val="0"/>
        <w:numPr>
          <w:ilvl w:val="0"/>
          <w:numId w:val="0"/>
        </w:numPr>
        <w:wordWrap/>
        <w:adjustRightInd/>
        <w:snapToGrid/>
        <w:spacing w:line="600" w:lineRule="exact"/>
        <w:ind w:firstLine="640" w:firstLineChars="200"/>
        <w:textAlignment w:val="auto"/>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3. 队伍专业能力需加强。全县政府信息公开工作人员多为兼职，专业培训覆盖面和频次不足，对《条例》精神和工作规范的理解把握不够精准，业务能力参差不齐。</w:t>
      </w:r>
    </w:p>
    <w:p w14:paraId="46B4E4FB">
      <w:pPr>
        <w:widowControl w:val="0"/>
        <w:numPr>
          <w:ilvl w:val="0"/>
          <w:numId w:val="0"/>
        </w:numPr>
        <w:wordWrap/>
        <w:adjustRightInd/>
        <w:snapToGrid/>
        <w:spacing w:line="600" w:lineRule="exact"/>
        <w:ind w:firstLine="640" w:firstLineChars="200"/>
        <w:textAlignment w:val="auto"/>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（二）改进措施</w:t>
      </w:r>
    </w:p>
    <w:p w14:paraId="2821A2EC">
      <w:pPr>
        <w:widowControl w:val="0"/>
        <w:numPr>
          <w:ilvl w:val="0"/>
          <w:numId w:val="0"/>
        </w:numPr>
        <w:wordWrap/>
        <w:adjustRightInd/>
        <w:snapToGrid/>
        <w:spacing w:line="600" w:lineRule="exact"/>
        <w:ind w:firstLine="640" w:firstLineChars="200"/>
        <w:textAlignment w:val="auto"/>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 xml:space="preserve">1. 深化公开内容建设。聚焦群众关切和重点领域，进一步细化公开目录，丰富公开内容。创新政策解读方式，推行“图文解读+视频解读+在线访谈”多元解读模式，邀请部门主要负责同志履行“第一解读人”职责，提升解读实效。建立政策执行过程公开机制，及时公开政策实施进展和成效。 </w:t>
      </w:r>
    </w:p>
    <w:p w14:paraId="298D7404">
      <w:pPr>
        <w:widowControl w:val="0"/>
        <w:numPr>
          <w:ilvl w:val="0"/>
          <w:numId w:val="0"/>
        </w:numPr>
        <w:wordWrap/>
        <w:adjustRightInd/>
        <w:snapToGrid/>
        <w:spacing w:line="600" w:lineRule="exact"/>
        <w:ind w:firstLine="640" w:firstLineChars="200"/>
        <w:textAlignment w:val="auto"/>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2. 优化平台管理服务。加强政府门户网站日常运维，建立信息更新台账，明确更新责任和时限，确保信息及时准确。提升政务新媒体互动效能，健全留言办理和反馈机制，实现群众咨询“件件有回应、事事有落实”。整合线上线下公开渠道，提升信息查阅便捷性。</w:t>
      </w:r>
    </w:p>
    <w:p w14:paraId="42239901">
      <w:pPr>
        <w:widowControl w:val="0"/>
        <w:numPr>
          <w:ilvl w:val="0"/>
          <w:numId w:val="0"/>
        </w:numPr>
        <w:wordWrap/>
        <w:adjustRightInd/>
        <w:snapToGrid/>
        <w:spacing w:line="600" w:lineRule="exact"/>
        <w:ind w:firstLine="640" w:firstLineChars="200"/>
        <w:textAlignment w:val="auto"/>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3. 强化队伍建设和培训。将政府信息公开工作培训纳入年度培训计划，扩大培训覆盖面，通过专题讲座、案例分析、实操演练等方式，提升工作人员专业素养和业务能力。建立业务交流机制，促进各乡镇、各部门经验共享，推动全县政府信息公开工作整体提升。</w:t>
      </w:r>
    </w:p>
    <w:p w14:paraId="4B6DC3C6">
      <w:pPr>
        <w:widowControl w:val="0"/>
        <w:numPr>
          <w:ilvl w:val="0"/>
          <w:numId w:val="0"/>
        </w:numPr>
        <w:wordWrap/>
        <w:adjustRightInd/>
        <w:snapToGrid/>
        <w:spacing w:line="600" w:lineRule="exact"/>
        <w:ind w:firstLine="640" w:firstLine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六、其他需要报告的事项</w:t>
      </w:r>
    </w:p>
    <w:p w14:paraId="47C5DAAA">
      <w:pPr>
        <w:widowControl w:val="0"/>
        <w:numPr>
          <w:ilvl w:val="0"/>
          <w:numId w:val="0"/>
        </w:numPr>
        <w:wordWrap/>
        <w:adjustRightInd/>
        <w:snapToGrid/>
        <w:spacing w:line="600" w:lineRule="exact"/>
        <w:ind w:firstLine="640" w:firstLineChars="200"/>
        <w:textAlignment w:val="auto"/>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pPr>
      <w:r>
        <w:rPr>
          <w:rFonts w:hint="eastAsia" w:ascii="方正仿宋简体" w:hAnsi="方正仿宋简体" w:eastAsia="方正仿宋简体" w:cs="方正仿宋简体"/>
          <w:b w:val="0"/>
          <w:i w:val="0"/>
          <w:caps w:val="0"/>
          <w:color w:val="212121"/>
          <w:spacing w:val="0"/>
          <w:kern w:val="0"/>
          <w:sz w:val="32"/>
          <w:szCs w:val="32"/>
          <w:shd w:val="clear" w:color="090000" w:fill="FFFFFF"/>
          <w:lang w:val="en-US" w:eastAsia="zh-CN"/>
        </w:rPr>
        <w:t>2025年度本行政机关未收取政府信息公开处理费。</w:t>
      </w:r>
    </w:p>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方正仿宋简体">
    <w:panose1 w:val="03000509000000000000"/>
    <w:charset w:val="86"/>
    <w:family w:val="auto"/>
    <w:pitch w:val="default"/>
    <w:sig w:usb0="00000001" w:usb1="080E0000" w:usb2="00000000" w:usb3="00000000" w:csb0="00040000" w:csb1="00000000"/>
  </w:font>
  <w:font w:name="方正黑体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61DD28">
    <w:pPr>
      <w:pStyle w:val="6"/>
    </w:pPr>
    <w:r>
      <w:rPr>
        <w:rFonts w:ascii="Calibri" w:hAnsi="Calibri" w:eastAsia="宋体" w:cs="黑体"/>
        <w:kern w:val="2"/>
        <w:sz w:val="18"/>
        <w:szCs w:val="24"/>
        <w:lang w:val="en-US" w:eastAsia="zh-CN" w:bidi="ar-SA"/>
      </w:rPr>
      <w:pict>
        <v:rect id="文本框 1" o:spid="_x0000_s4097" o:spt="1" style="position:absolute;left:0pt;margin-top:0pt;height:144pt;width:144pt;mso-position-horizontal:center;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14:paraId="2AB855D5">
                <w:pPr>
                  <w:pStyle w:val="6"/>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rect>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5F8BD0"/>
    <w:multiLevelType w:val="singleLevel"/>
    <w:tmpl w:val="995F8BD0"/>
    <w:lvl w:ilvl="0" w:tentative="0">
      <w:start w:val="2"/>
      <w:numFmt w:val="decimal"/>
      <w:lvlText w:val="%1."/>
      <w:lvlJc w:val="left"/>
      <w:pPr>
        <w:tabs>
          <w:tab w:val="left" w:pos="312"/>
        </w:tabs>
      </w:pPr>
    </w:lvl>
  </w:abstractNum>
  <w:abstractNum w:abstractNumId="1">
    <w:nsid w:val="DC16339F"/>
    <w:multiLevelType w:val="singleLevel"/>
    <w:tmpl w:val="DC16339F"/>
    <w:lvl w:ilvl="0" w:tentative="0">
      <w:start w:val="1"/>
      <w:numFmt w:val="decimal"/>
      <w:lvlText w:val="%1."/>
      <w:lvlJc w:val="left"/>
      <w:pPr>
        <w:tabs>
          <w:tab w:val="left" w:pos="312"/>
        </w:tabs>
      </w:pPr>
    </w:lvl>
  </w:abstractNum>
  <w:abstractNum w:abstractNumId="2">
    <w:nsid w:val="FF4610AD"/>
    <w:multiLevelType w:val="singleLevel"/>
    <w:tmpl w:val="FF4610AD"/>
    <w:lvl w:ilvl="0" w:tentative="0">
      <w:start w:val="1"/>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mNlYjhkODkzODVhZDQxZTIyOGFkZGVhMzBkNTUzZmEifQ=="/>
  </w:docVars>
  <w:rsids>
    <w:rsidRoot w:val="00000000"/>
    <w:rsid w:val="070E57A7"/>
    <w:rsid w:val="073548D0"/>
    <w:rsid w:val="08A22972"/>
    <w:rsid w:val="0917635F"/>
    <w:rsid w:val="0BF41D2B"/>
    <w:rsid w:val="0E9B4F71"/>
    <w:rsid w:val="185740C6"/>
    <w:rsid w:val="1ABB1912"/>
    <w:rsid w:val="218F6DF4"/>
    <w:rsid w:val="2494563C"/>
    <w:rsid w:val="29D610B6"/>
    <w:rsid w:val="2CB142FB"/>
    <w:rsid w:val="33CD4AB8"/>
    <w:rsid w:val="35666CE0"/>
    <w:rsid w:val="39CF4083"/>
    <w:rsid w:val="49F32320"/>
    <w:rsid w:val="51D61E1B"/>
    <w:rsid w:val="562D5CEA"/>
    <w:rsid w:val="5D3275F6"/>
    <w:rsid w:val="64302840"/>
    <w:rsid w:val="67FE4C0F"/>
    <w:rsid w:val="68F619FA"/>
    <w:rsid w:val="6F590AF7"/>
    <w:rsid w:val="7EDB79D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4"/>
      <w:lang w:val="en-US" w:eastAsia="zh-CN" w:bidi="ar-SA"/>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4">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0">
    <w:name w:val="Default Paragraph Font"/>
    <w:semiHidden/>
    <w:qFormat/>
    <w:uiPriority w:val="0"/>
  </w:style>
  <w:style w:type="table" w:default="1" w:styleId="9">
    <w:name w:val="Normal Table"/>
    <w:autoRedefine/>
    <w:semiHidden/>
    <w:unhideWhenUsed/>
    <w:qFormat/>
    <w:uiPriority w:val="99"/>
    <w:tblPr>
      <w:tblCellMar>
        <w:top w:w="0" w:type="dxa"/>
        <w:left w:w="108" w:type="dxa"/>
        <w:bottom w:w="0" w:type="dxa"/>
        <w:right w:w="108" w:type="dxa"/>
      </w:tblCellMar>
    </w:tblPr>
  </w:style>
  <w:style w:type="paragraph" w:styleId="2">
    <w:name w:val="Title"/>
    <w:basedOn w:val="1"/>
    <w:next w:val="1"/>
    <w:autoRedefine/>
    <w:qFormat/>
    <w:uiPriority w:val="0"/>
    <w:pPr>
      <w:spacing w:before="240" w:after="60"/>
      <w:jc w:val="center"/>
    </w:pPr>
    <w:rPr>
      <w:rFonts w:ascii="等线 Light" w:hAnsi="等线 Light" w:eastAsia="等线 Light" w:cs="Times New Roman"/>
      <w:b/>
      <w:bCs/>
      <w:sz w:val="32"/>
      <w:szCs w:val="32"/>
    </w:rPr>
  </w:style>
  <w:style w:type="paragraph" w:styleId="5">
    <w:name w:val="Normal Indent"/>
    <w:basedOn w:val="1"/>
    <w:autoRedefine/>
    <w:qFormat/>
    <w:uiPriority w:val="0"/>
    <w:pPr>
      <w:ind w:firstLine="420" w:firstLineChars="200"/>
    </w:pPr>
  </w:style>
  <w:style w:type="paragraph" w:styleId="6">
    <w:name w:val="footer"/>
    <w:basedOn w:val="1"/>
    <w:autoRedefine/>
    <w:qFormat/>
    <w:uiPriority w:val="0"/>
    <w:pPr>
      <w:tabs>
        <w:tab w:val="center" w:pos="4153"/>
        <w:tab w:val="right" w:pos="8306"/>
      </w:tabs>
      <w:snapToGrid w:val="0"/>
      <w:jc w:val="left"/>
    </w:pPr>
    <w:rPr>
      <w:sz w:val="18"/>
    </w:rPr>
  </w:style>
  <w:style w:type="paragraph" w:styleId="7">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autoRedefine/>
    <w:qFormat/>
    <w:uiPriority w:val="0"/>
    <w:pPr>
      <w:spacing w:before="0" w:beforeAutospacing="1" w:after="0" w:afterAutospacing="1"/>
      <w:ind w:left="0" w:right="0"/>
      <w:jc w:val="left"/>
    </w:pPr>
    <w:rPr>
      <w:kern w:val="0"/>
      <w:sz w:val="24"/>
      <w:lang w:val="en-US" w:eastAsia="zh-CN"/>
    </w:rPr>
  </w:style>
  <w:style w:type="character" w:styleId="11">
    <w:name w:val="Hyperlink"/>
    <w:basedOn w:val="10"/>
    <w:autoRedefine/>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2888</Words>
  <Characters>2982</Characters>
  <Lines>0</Lines>
  <Paragraphs>0</Paragraphs>
  <TotalTime>34</TotalTime>
  <ScaleCrop>false</ScaleCrop>
  <LinksUpToDate>false</LinksUpToDate>
  <CharactersWithSpaces>2996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2022-01-10T06:25:00Z</dcterms:created>
  <dc:creator>lenovo</dc:creator>
  <cp:lastModifiedBy>Fiona</cp:lastModifiedBy>
  <cp:lastPrinted>2022-03-04T01:23:00Z</cp:lastPrinted>
  <dcterms:modified xsi:type="dcterms:W3CDTF">2026-01-19T09:02:41Z</dcterms:modified>
  <dc:title>井陉县人民政府办公室</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80C43E15FB3643178A1483D82C289ACF</vt:lpwstr>
  </property>
  <property fmtid="{D5CDD505-2E9C-101B-9397-08002B2CF9AE}" pid="4" name="KSOTemplateDocerSaveRecord">
    <vt:lpwstr>eyJoZGlkIjoiZmNlYjhkODkzODVhZDQxZTIyOGFkZGVhMzBkNTUzZmEiLCJ1c2VySWQiOiIyNDgyNjgxOTkifQ==</vt:lpwstr>
  </property>
</Properties>
</file>