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2E4088"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  <w:lang w:val="en-US" w:eastAsia="zh-CN"/>
        </w:rPr>
      </w:pPr>
      <w:bookmarkStart w:id="2" w:name="_GoBack"/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  <w:lang w:eastAsia="zh-CN"/>
        </w:rPr>
        <w:t>井陉县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  <w:lang w:val="en-US" w:eastAsia="zh-CN"/>
        </w:rPr>
        <w:t>南陉乡人民政府</w:t>
      </w:r>
    </w:p>
    <w:p w14:paraId="1712CB04"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sz w:val="44"/>
          <w:szCs w:val="44"/>
          <w:shd w:val="clear" w:color="080000" w:fill="FFFFFF"/>
        </w:rPr>
        <w:t>年政府信息公开工作年度报告</w:t>
      </w:r>
    </w:p>
    <w:p w14:paraId="0E608967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</w:p>
    <w:p w14:paraId="7F4B39C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总体情况</w:t>
      </w:r>
    </w:p>
    <w:p w14:paraId="71C680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2025年，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在县委、县政府的统一安排下，深入落实《中华人民共和国政府信息公开条例》相关要求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，锚定“以公开促规范、以透明强治理”目标，</w:t>
      </w:r>
      <w:r>
        <w:rPr>
          <w:rFonts w:ascii="仿宋_GB2312" w:hAnsi="宋体" w:eastAsia="仿宋_GB2312" w:cs="仿宋_GB2312"/>
          <w:color w:val="auto"/>
          <w:sz w:val="32"/>
          <w:szCs w:val="32"/>
        </w:rPr>
        <w:t>扎实推进政务公开制度化、标准化、信息化建设，提升政府信息公开发布时效和内容质量，统筹做好政府信息公开工作。</w:t>
      </w: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现将本年度工作情况汇报如下：</w:t>
      </w:r>
    </w:p>
    <w:p w14:paraId="7BFE2706"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（一）主动公开情况</w:t>
      </w:r>
    </w:p>
    <w:p w14:paraId="74808F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hAnsi="宋体" w:eastAsia="仿宋_GB2312" w:cs="仿宋_GB2312"/>
          <w:color w:val="auto"/>
          <w:sz w:val="32"/>
          <w:szCs w:val="32"/>
        </w:rPr>
        <w:t>认真贯彻落实政府信息公开工作的各项要求，主动公开深化拓展，扎实推进政府信息公开工作。</w:t>
      </w:r>
      <w:r>
        <w:rPr>
          <w:rFonts w:hint="eastAsia" w:ascii="仿宋_GB2312" w:hAnsi="宋体" w:eastAsia="仿宋_GB2312" w:cs="仿宋_GB2312"/>
          <w:color w:val="auto"/>
          <w:sz w:val="32"/>
          <w:szCs w:val="32"/>
        </w:rPr>
        <w:t>一是公开</w:t>
      </w:r>
      <w:r>
        <w:rPr>
          <w:rFonts w:hint="eastAsia" w:ascii="仿宋_GB2312" w:hAnsi="宋体" w:eastAsia="仿宋_GB2312" w:cs="仿宋_GB2312"/>
          <w:color w:val="auto"/>
          <w:sz w:val="32"/>
          <w:szCs w:val="32"/>
          <w:lang w:eastAsia="zh-CN"/>
        </w:rPr>
        <w:t>南陉</w:t>
      </w:r>
      <w:r>
        <w:rPr>
          <w:rFonts w:hint="eastAsia" w:ascii="仿宋_GB2312" w:hAnsi="宋体" w:eastAsia="仿宋_GB2312" w:cs="仿宋_GB2312"/>
          <w:color w:val="auto"/>
          <w:sz w:val="32"/>
          <w:szCs w:val="32"/>
        </w:rPr>
        <w:t>乡机构设置和职能，列出全乡各个机构和主管范围。公开政府信息公开指南，明确公开方式、时限等内容。二是及时在政府信息公开专栏发布工作年度报告；第一时间公开年度预算、决算，公开项目绩效自评报告。三是公开行政许可、行政执法相关内容</w:t>
      </w:r>
    </w:p>
    <w:p w14:paraId="548F9B6A"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（二）依申请公开情况</w:t>
      </w:r>
    </w:p>
    <w:p w14:paraId="19EB179A">
      <w:pPr>
        <w:pStyle w:val="3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right="0" w:firstLine="64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/>
          <w:color w:val="auto"/>
          <w:sz w:val="32"/>
          <w:szCs w:val="32"/>
        </w:rPr>
        <w:t>本年度我乡未收到申请公开信息的要求。</w:t>
      </w:r>
    </w:p>
    <w:p w14:paraId="3CA54537"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（三）政府信息管理情况</w:t>
      </w:r>
    </w:p>
    <w:p w14:paraId="013941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以制度完善为抓手，我乡持续优化政府信息公开相关制度，建立健全主动公开、依申请公开、保密审查的制度框架，坚持党政办牵头统筹、相关科室联动协作的工作原则，实行初审、二审、三审层层把关，专人负责信息公开全流程的工作模式，明确公开内容范围，切实提升政府信息管理的规范化水平。</w:t>
      </w:r>
    </w:p>
    <w:p w14:paraId="0FAEDB07"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（四）政府信息公开平台建设情况</w:t>
      </w:r>
    </w:p>
    <w:p w14:paraId="5E263F57">
      <w:pPr>
        <w:pStyle w:val="3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/>
        <w:ind w:left="0" w:right="0" w:firstLine="640"/>
        <w:jc w:val="both"/>
        <w:rPr>
          <w:color w:val="auto"/>
        </w:rPr>
      </w:pPr>
      <w:bookmarkStart w:id="0" w:name="OLE_LINK2"/>
      <w:r>
        <w:rPr>
          <w:rFonts w:ascii="仿宋_GB2312" w:eastAsia="仿宋_GB2312" w:cs="仿宋_GB2312"/>
          <w:color w:val="auto"/>
          <w:sz w:val="32"/>
          <w:szCs w:val="32"/>
        </w:rPr>
        <w:t>明确党政办专人负责信息公开平台建设，建立信息更新责任清单，负责信息采集审核、内容上传发布等工作，确保发布内容合法合规、准确无误。</w:t>
      </w:r>
      <w:bookmarkEnd w:id="0"/>
    </w:p>
    <w:p w14:paraId="1C1B5F1E"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（五）监督保障情况</w:t>
      </w:r>
    </w:p>
    <w:p w14:paraId="37B25B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我乡以《中华人民共和国政府信息公开条例》为根本遵循，严格落实上级部门的工作部署，扎实执行政府信息公开工作制度。对拟公开的各类信息，坚持 “谁起草、谁审核、谁负责” 原则，通过层层审核、交叉核验的方式，确保信息内容精准无误、发布及时规范。同时，将保密审查贯穿政务公开工作全过程，对拟公开材料进行全面筛查，重点排查敏感信息、涉密内容，严守保密工作底线，保障政府信息公开工作始终沿着高质量、高标准的轨道稳步推进。</w:t>
      </w:r>
    </w:p>
    <w:p w14:paraId="4061FB9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二、主动公开政府信息情况</w:t>
      </w:r>
    </w:p>
    <w:tbl>
      <w:tblPr>
        <w:tblStyle w:val="4"/>
        <w:tblW w:w="5000" w:type="pct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906"/>
        <w:gridCol w:w="1141"/>
        <w:gridCol w:w="1140"/>
        <w:gridCol w:w="2281"/>
        <w:gridCol w:w="2284"/>
      </w:tblGrid>
      <w:tr w14:paraId="38F549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000" w:type="pct"/>
            <w:gridSpan w:val="5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40418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第二十条第（一）项</w:t>
            </w:r>
          </w:p>
        </w:tc>
      </w:tr>
      <w:tr w14:paraId="4F42DB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89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8580B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信息内容</w:t>
            </w:r>
          </w:p>
        </w:tc>
        <w:tc>
          <w:tcPr>
            <w:tcW w:w="1303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008A46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本年制发件数</w:t>
            </w:r>
          </w:p>
        </w:tc>
        <w:tc>
          <w:tcPr>
            <w:tcW w:w="1303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C51A4E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本年废止件数</w:t>
            </w:r>
          </w:p>
        </w:tc>
        <w:tc>
          <w:tcPr>
            <w:tcW w:w="1303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E54E2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现行有效件数</w:t>
            </w:r>
          </w:p>
        </w:tc>
      </w:tr>
      <w:tr w14:paraId="52F9A7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89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7AA3BB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规章</w:t>
            </w:r>
          </w:p>
        </w:tc>
        <w:tc>
          <w:tcPr>
            <w:tcW w:w="1303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C80583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1303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C270E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1303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31EFD8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393EEF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89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1DBC3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规范性文件</w:t>
            </w:r>
          </w:p>
        </w:tc>
        <w:tc>
          <w:tcPr>
            <w:tcW w:w="1303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BA6B7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1303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738F4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1303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036E7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4A17AE6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000" w:type="pct"/>
            <w:gridSpan w:val="5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05C93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第二十条第（五）项</w:t>
            </w:r>
          </w:p>
        </w:tc>
      </w:tr>
      <w:tr w14:paraId="25DA62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89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80DEB0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信息内容</w:t>
            </w:r>
          </w:p>
        </w:tc>
        <w:tc>
          <w:tcPr>
            <w:tcW w:w="3910" w:type="pct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E55BE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本年处理决定数量</w:t>
            </w:r>
          </w:p>
        </w:tc>
      </w:tr>
      <w:tr w14:paraId="293035A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1089" w:type="pct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6C948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行政许可</w:t>
            </w:r>
          </w:p>
        </w:tc>
        <w:tc>
          <w:tcPr>
            <w:tcW w:w="3910" w:type="pct"/>
            <w:gridSpan w:val="4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0F65EA3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36</w:t>
            </w:r>
          </w:p>
        </w:tc>
      </w:tr>
      <w:tr w14:paraId="67C725F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000" w:type="pct"/>
            <w:gridSpan w:val="5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35F3A59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第二十条第（六）项</w:t>
            </w:r>
          </w:p>
        </w:tc>
      </w:tr>
      <w:tr w14:paraId="57FF40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41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0EFC3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信息内容</w:t>
            </w:r>
          </w:p>
        </w:tc>
        <w:tc>
          <w:tcPr>
            <w:tcW w:w="3258" w:type="pct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7F8249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本年处理决定数量</w:t>
            </w:r>
          </w:p>
        </w:tc>
      </w:tr>
      <w:tr w14:paraId="570C4B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41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236E4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行政处罚</w:t>
            </w:r>
          </w:p>
        </w:tc>
        <w:tc>
          <w:tcPr>
            <w:tcW w:w="3258" w:type="pct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42E4AD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1</w:t>
            </w:r>
          </w:p>
        </w:tc>
      </w:tr>
      <w:tr w14:paraId="5C7A58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741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557C1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行政强制</w:t>
            </w:r>
          </w:p>
        </w:tc>
        <w:tc>
          <w:tcPr>
            <w:tcW w:w="3258" w:type="pct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197F87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45131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000" w:type="pct"/>
            <w:gridSpan w:val="5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FEE28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第二十条第（八）项</w:t>
            </w:r>
          </w:p>
        </w:tc>
      </w:tr>
      <w:tr w14:paraId="54534D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41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6972F5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信息内容</w:t>
            </w:r>
          </w:p>
        </w:tc>
        <w:tc>
          <w:tcPr>
            <w:tcW w:w="3258" w:type="pct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5C3D11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本年收费金额（单位：万元）</w:t>
            </w:r>
          </w:p>
        </w:tc>
      </w:tr>
      <w:tr w14:paraId="0236E9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41" w:type="pct"/>
            <w:gridSpan w:val="2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4BCCE8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行政事业性收费</w:t>
            </w:r>
          </w:p>
        </w:tc>
        <w:tc>
          <w:tcPr>
            <w:tcW w:w="3258" w:type="pct"/>
            <w:gridSpan w:val="3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 w14:paraId="21B196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</w:tbl>
    <w:p w14:paraId="2C69E8E8">
      <w:pPr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三、收到和处理政府信息公开申请情况</w:t>
      </w:r>
    </w:p>
    <w:tbl>
      <w:tblPr>
        <w:tblStyle w:val="4"/>
        <w:tblW w:w="4999" w:type="pct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04"/>
        <w:gridCol w:w="868"/>
        <w:gridCol w:w="2473"/>
        <w:gridCol w:w="773"/>
        <w:gridCol w:w="692"/>
        <w:gridCol w:w="692"/>
        <w:gridCol w:w="886"/>
        <w:gridCol w:w="886"/>
        <w:gridCol w:w="433"/>
        <w:gridCol w:w="539"/>
      </w:tblGrid>
      <w:tr w14:paraId="5DB7A8D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2261" w:type="pct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E792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（本列数据的勾稽关系为：第一项加第二项之和，等于第三项加第四项之和）</w:t>
            </w:r>
          </w:p>
        </w:tc>
        <w:tc>
          <w:tcPr>
            <w:tcW w:w="2738" w:type="pct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6944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申请人情况</w:t>
            </w:r>
          </w:p>
        </w:tc>
      </w:tr>
      <w:tr w14:paraId="3F6698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2261" w:type="pct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E3F1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32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1634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自然人</w:t>
            </w:r>
          </w:p>
        </w:tc>
        <w:tc>
          <w:tcPr>
            <w:tcW w:w="2006" w:type="pct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851F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法人或其他组织</w:t>
            </w:r>
          </w:p>
        </w:tc>
        <w:tc>
          <w:tcPr>
            <w:tcW w:w="299" w:type="pct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A7D0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总计</w:t>
            </w:r>
          </w:p>
        </w:tc>
      </w:tr>
      <w:tr w14:paraId="1C2196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2261" w:type="pct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D8785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32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323C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012B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商业企业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29EB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科研机构</w:t>
            </w:r>
          </w:p>
        </w:tc>
        <w:tc>
          <w:tcPr>
            <w:tcW w:w="495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42BB7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社会公益组织</w:t>
            </w:r>
          </w:p>
        </w:tc>
        <w:tc>
          <w:tcPr>
            <w:tcW w:w="495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0D4B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法律服务机构</w:t>
            </w:r>
          </w:p>
        </w:tc>
        <w:tc>
          <w:tcPr>
            <w:tcW w:w="240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4518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其他</w:t>
            </w:r>
          </w:p>
        </w:tc>
        <w:tc>
          <w:tcPr>
            <w:tcW w:w="299" w:type="pct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0209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</w:tr>
      <w:tr w14:paraId="3BA71C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2261" w:type="pct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4093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一、本年新收政府信息公开申请数量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EC00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F861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5346A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2A42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7A5E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6A54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5B6C8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284F52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2261" w:type="pct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FD9D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二、上年结转政府信息公开申请数量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FE98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4148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770F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84B7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4710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5348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9CED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68FCA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8765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三、本年度办理结果</w:t>
            </w:r>
          </w:p>
        </w:tc>
        <w:tc>
          <w:tcPr>
            <w:tcW w:w="1867" w:type="pct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285E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（一）予已公开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4484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01EA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E58BB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D0BA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A5C9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CD21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D9C6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3FCCFB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9BDC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867" w:type="pct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79CC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（二）部分公开（区分处理的，只计这一情形，不计其他情形）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C634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51AE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E8E55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38BEC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174A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D35E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4840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2E5C31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813F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41DE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（三）</w:t>
            </w:r>
          </w:p>
          <w:p w14:paraId="65FE7F5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不予</w:t>
            </w:r>
          </w:p>
          <w:p w14:paraId="4DD5C91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公开</w:t>
            </w: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5AC4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1.属于国家秘密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0F45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17EC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FBA1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139A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94FC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9A62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C17C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7B2ACA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82D1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E7EB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F11AA">
            <w:pPr>
              <w:widowControl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其他法律行政法规禁止公开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4DAE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4B42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6662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5B9D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2DC0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8283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9EB8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1D27E0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8C69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4C3B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75692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3.危及“三安全一稳定”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E5224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06EC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8BD9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6F07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370B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C03C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B608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2B03C4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9EF7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D895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EFA7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4.保护第三方合法权益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71F4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DC06B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885B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D54F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6869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6A23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2DD2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400FBF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E646E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D63F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26F1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5.属于三类内部事务信息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D3F92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E29DA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191F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4B07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2E38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FD0E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CC32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259800A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3627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3431D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526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6.属于四类过程性信息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B497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CF12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4107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6DE9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C975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5FC7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671F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0C18B2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D563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2DA1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0F2F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7.属于行政执法案卷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9D9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E2EC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795B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984D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0409E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8F0D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5DA3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7AA0A9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A897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4FDC5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31A2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8.属于行政查询事项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A5DE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48F8E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2749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056F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BD37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5738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6707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17FBEC6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8D2D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227C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（四）</w:t>
            </w:r>
          </w:p>
          <w:p w14:paraId="75AA566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无法</w:t>
            </w:r>
          </w:p>
          <w:p w14:paraId="021BB78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提供</w:t>
            </w: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FB899">
            <w:pPr>
              <w:widowControl/>
              <w:numPr>
                <w:ilvl w:val="0"/>
                <w:numId w:val="3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本机关不掌握相关政府</w:t>
            </w:r>
          </w:p>
          <w:p w14:paraId="5D045065">
            <w:pPr>
              <w:widowControl/>
              <w:numPr>
                <w:ilvl w:val="0"/>
                <w:numId w:val="0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信息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CCF4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1CA8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A3D7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570E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E351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FED8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B5D2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2B9868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55E3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B9FC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8915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2.没有现成信息需要另行制作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00EF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0E3F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35BE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BC72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8A5CC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3D5D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CD24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15F416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15022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0FAD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4006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3.补正后申请内容仍不明确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4DC69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AC2F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7C74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8B95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9EC70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DC92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7A2B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946D8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2720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8FB6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（五）</w:t>
            </w:r>
          </w:p>
          <w:p w14:paraId="338F797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不予</w:t>
            </w:r>
          </w:p>
          <w:p w14:paraId="4E1822B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处理</w:t>
            </w: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FFA8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1.信访举报投诉类申请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D5EE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BF72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7A2B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0DB5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D827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B2E9C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C230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30E701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0CE4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60D7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33E9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2.重复申请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22BE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D3DF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AD8E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B8C3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E1D2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1EEF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926B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5A5223C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FB53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3F81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2DB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3.要求提供公开出版物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7030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B0E8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CD52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010D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D51D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AB3C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3013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203F7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F84B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D980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B34D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4.无正当理由大量反复申请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1B97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5793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4923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38803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1E1B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93764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5E9F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9400C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1E93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4D56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42B9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5.要求行政机关确认或重新出具已获取信息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B6DB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D982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1735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01C4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8428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89D5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55B8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292624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316F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F8D0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（六）</w:t>
            </w:r>
          </w:p>
          <w:p w14:paraId="4BBAA14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其他</w:t>
            </w:r>
          </w:p>
          <w:p w14:paraId="090EDD3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处理</w:t>
            </w: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F5F8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1.申请人无正当理由逾期不补正、行政机关不再处理其政府信息公开申请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8C08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0503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A583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57B2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314A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6C4C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F727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3D666C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5697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59A3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6972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2.申请人逾期未按收费通知要求缴纳费用、行政机关不再处理其政府信息公开申请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15D5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60F2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68C8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65BB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2F57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8D60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CD27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41F75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E54D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485" w:type="pct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C6D7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38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4796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3.其他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351C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CE909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0B2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1933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119C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ECB9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DEB6C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E6788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394" w:type="pct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34D1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1867" w:type="pct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4518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（七）总计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6702A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BE86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834F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685C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39C3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EB3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14B3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  <w:tr w14:paraId="6DA13FA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" w:hRule="atLeast"/>
          <w:jc w:val="center"/>
        </w:trPr>
        <w:tc>
          <w:tcPr>
            <w:tcW w:w="2261" w:type="pct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8AD4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四、结转下年度继续办理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768C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32D1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7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FB12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CB9C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495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E4A8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40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BA43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83E3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</w:tbl>
    <w:p w14:paraId="49B97FA7"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left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四、政府信息公开行政复议、行政诉讼情况</w:t>
      </w:r>
    </w:p>
    <w:tbl>
      <w:tblPr>
        <w:tblStyle w:val="4"/>
        <w:tblW w:w="4999" w:type="pct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524"/>
        <w:gridCol w:w="483"/>
        <w:gridCol w:w="534"/>
        <w:gridCol w:w="537"/>
        <w:gridCol w:w="665"/>
        <w:gridCol w:w="585"/>
        <w:gridCol w:w="585"/>
        <w:gridCol w:w="585"/>
        <w:gridCol w:w="494"/>
        <w:gridCol w:w="693"/>
        <w:gridCol w:w="585"/>
        <w:gridCol w:w="585"/>
        <w:gridCol w:w="585"/>
        <w:gridCol w:w="586"/>
      </w:tblGrid>
      <w:tr w14:paraId="1D88856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602" w:type="pct"/>
            <w:gridSpan w:val="5"/>
            <w:noWrap w:val="0"/>
            <w:vAlign w:val="center"/>
          </w:tcPr>
          <w:p w14:paraId="732E079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行政复议</w:t>
            </w:r>
          </w:p>
        </w:tc>
        <w:tc>
          <w:tcPr>
            <w:tcW w:w="3397" w:type="pct"/>
            <w:gridSpan w:val="10"/>
            <w:noWrap w:val="0"/>
            <w:vAlign w:val="center"/>
          </w:tcPr>
          <w:p w14:paraId="75B0720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行政诉讼</w:t>
            </w:r>
          </w:p>
        </w:tc>
      </w:tr>
      <w:tr w14:paraId="6DA48D6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4" w:type="pct"/>
            <w:vMerge w:val="restart"/>
            <w:noWrap w:val="0"/>
            <w:vAlign w:val="center"/>
          </w:tcPr>
          <w:p w14:paraId="1B5B36B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结果维持</w:t>
            </w:r>
          </w:p>
        </w:tc>
        <w:tc>
          <w:tcPr>
            <w:tcW w:w="300" w:type="pct"/>
            <w:vMerge w:val="restart"/>
            <w:noWrap w:val="0"/>
            <w:vAlign w:val="center"/>
          </w:tcPr>
          <w:p w14:paraId="37E47C93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结果纠正</w:t>
            </w:r>
          </w:p>
        </w:tc>
        <w:tc>
          <w:tcPr>
            <w:tcW w:w="276" w:type="pct"/>
            <w:vMerge w:val="restart"/>
            <w:noWrap w:val="0"/>
            <w:vAlign w:val="center"/>
          </w:tcPr>
          <w:p w14:paraId="35DB04E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其他结果</w:t>
            </w:r>
          </w:p>
        </w:tc>
        <w:tc>
          <w:tcPr>
            <w:tcW w:w="305" w:type="pct"/>
            <w:vMerge w:val="restart"/>
            <w:noWrap w:val="0"/>
            <w:vAlign w:val="center"/>
          </w:tcPr>
          <w:p w14:paraId="7909261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尚未审结</w:t>
            </w:r>
          </w:p>
        </w:tc>
        <w:tc>
          <w:tcPr>
            <w:tcW w:w="306" w:type="pct"/>
            <w:vMerge w:val="restart"/>
            <w:noWrap w:val="0"/>
            <w:vAlign w:val="center"/>
          </w:tcPr>
          <w:p w14:paraId="7CDBC1A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总计</w:t>
            </w:r>
          </w:p>
        </w:tc>
        <w:tc>
          <w:tcPr>
            <w:tcW w:w="1664" w:type="pct"/>
            <w:gridSpan w:val="5"/>
            <w:noWrap w:val="0"/>
            <w:vAlign w:val="center"/>
          </w:tcPr>
          <w:p w14:paraId="198CF1B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未经复议直接起诉</w:t>
            </w:r>
          </w:p>
        </w:tc>
        <w:tc>
          <w:tcPr>
            <w:tcW w:w="1732" w:type="pct"/>
            <w:gridSpan w:val="5"/>
            <w:noWrap w:val="0"/>
            <w:vAlign w:val="center"/>
          </w:tcPr>
          <w:p w14:paraId="2862504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复议后起诉</w:t>
            </w:r>
          </w:p>
        </w:tc>
      </w:tr>
      <w:tr w14:paraId="0EB5DAB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4" w:type="pct"/>
            <w:vMerge w:val="continue"/>
            <w:noWrap w:val="0"/>
            <w:vAlign w:val="center"/>
          </w:tcPr>
          <w:p w14:paraId="723072E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00" w:type="pct"/>
            <w:vMerge w:val="continue"/>
            <w:noWrap w:val="0"/>
            <w:vAlign w:val="center"/>
          </w:tcPr>
          <w:p w14:paraId="7171C35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276" w:type="pct"/>
            <w:vMerge w:val="continue"/>
            <w:noWrap w:val="0"/>
            <w:vAlign w:val="center"/>
          </w:tcPr>
          <w:p w14:paraId="1410136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05" w:type="pct"/>
            <w:vMerge w:val="continue"/>
            <w:noWrap w:val="0"/>
            <w:vAlign w:val="center"/>
          </w:tcPr>
          <w:p w14:paraId="615B4D8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06" w:type="pct"/>
            <w:vMerge w:val="continue"/>
            <w:noWrap w:val="0"/>
            <w:vAlign w:val="center"/>
          </w:tcPr>
          <w:p w14:paraId="013AB7F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</w:p>
        </w:tc>
        <w:tc>
          <w:tcPr>
            <w:tcW w:w="380" w:type="pct"/>
            <w:noWrap w:val="0"/>
            <w:vAlign w:val="center"/>
          </w:tcPr>
          <w:p w14:paraId="1D7510B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</w:t>
            </w:r>
          </w:p>
          <w:p w14:paraId="40C9812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维持</w:t>
            </w:r>
          </w:p>
        </w:tc>
        <w:tc>
          <w:tcPr>
            <w:tcW w:w="334" w:type="pct"/>
            <w:noWrap w:val="0"/>
            <w:vAlign w:val="center"/>
          </w:tcPr>
          <w:p w14:paraId="6EF16B4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</w:t>
            </w:r>
          </w:p>
          <w:p w14:paraId="4C3427C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纠正</w:t>
            </w:r>
          </w:p>
        </w:tc>
        <w:tc>
          <w:tcPr>
            <w:tcW w:w="334" w:type="pct"/>
            <w:noWrap w:val="0"/>
            <w:vAlign w:val="center"/>
          </w:tcPr>
          <w:p w14:paraId="175854DF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其他</w:t>
            </w:r>
          </w:p>
          <w:p w14:paraId="7BC6EAB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</w:t>
            </w:r>
          </w:p>
        </w:tc>
        <w:tc>
          <w:tcPr>
            <w:tcW w:w="334" w:type="pct"/>
            <w:noWrap w:val="0"/>
            <w:vAlign w:val="center"/>
          </w:tcPr>
          <w:p w14:paraId="1187DBC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尚未</w:t>
            </w:r>
          </w:p>
          <w:p w14:paraId="537F799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审结</w:t>
            </w:r>
          </w:p>
        </w:tc>
        <w:tc>
          <w:tcPr>
            <w:tcW w:w="281" w:type="pct"/>
            <w:noWrap w:val="0"/>
            <w:vAlign w:val="center"/>
          </w:tcPr>
          <w:p w14:paraId="7454C02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总计</w:t>
            </w:r>
          </w:p>
        </w:tc>
        <w:tc>
          <w:tcPr>
            <w:tcW w:w="396" w:type="pct"/>
            <w:noWrap w:val="0"/>
            <w:vAlign w:val="center"/>
          </w:tcPr>
          <w:p w14:paraId="0245F412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</w:t>
            </w:r>
          </w:p>
          <w:p w14:paraId="36BE397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维持</w:t>
            </w:r>
          </w:p>
        </w:tc>
        <w:tc>
          <w:tcPr>
            <w:tcW w:w="334" w:type="pct"/>
            <w:noWrap w:val="0"/>
            <w:vAlign w:val="center"/>
          </w:tcPr>
          <w:p w14:paraId="596673F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</w:t>
            </w:r>
          </w:p>
          <w:p w14:paraId="46284A5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纠正</w:t>
            </w:r>
          </w:p>
        </w:tc>
        <w:tc>
          <w:tcPr>
            <w:tcW w:w="334" w:type="pct"/>
            <w:noWrap w:val="0"/>
            <w:vAlign w:val="center"/>
          </w:tcPr>
          <w:p w14:paraId="31D58A1A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其他</w:t>
            </w:r>
          </w:p>
          <w:p w14:paraId="13F9751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结果</w:t>
            </w:r>
          </w:p>
        </w:tc>
        <w:tc>
          <w:tcPr>
            <w:tcW w:w="334" w:type="pct"/>
            <w:noWrap w:val="0"/>
            <w:vAlign w:val="center"/>
          </w:tcPr>
          <w:p w14:paraId="724B648C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尚未</w:t>
            </w:r>
          </w:p>
          <w:p w14:paraId="2B32DE9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审结</w:t>
            </w:r>
          </w:p>
        </w:tc>
        <w:tc>
          <w:tcPr>
            <w:tcW w:w="332" w:type="pct"/>
            <w:noWrap w:val="0"/>
            <w:vAlign w:val="center"/>
          </w:tcPr>
          <w:p w14:paraId="02C97789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总计</w:t>
            </w:r>
          </w:p>
        </w:tc>
      </w:tr>
      <w:tr w14:paraId="3708C7B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4" w:type="pct"/>
            <w:noWrap w:val="0"/>
            <w:vAlign w:val="center"/>
          </w:tcPr>
          <w:p w14:paraId="7E8271F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00" w:type="pct"/>
            <w:noWrap w:val="0"/>
            <w:vAlign w:val="center"/>
          </w:tcPr>
          <w:p w14:paraId="0096E29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76" w:type="pct"/>
            <w:noWrap w:val="0"/>
            <w:vAlign w:val="center"/>
          </w:tcPr>
          <w:p w14:paraId="13491D1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05" w:type="pct"/>
            <w:noWrap w:val="0"/>
            <w:vAlign w:val="center"/>
          </w:tcPr>
          <w:p w14:paraId="0CA242A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06" w:type="pct"/>
            <w:noWrap w:val="0"/>
            <w:vAlign w:val="center"/>
          </w:tcPr>
          <w:p w14:paraId="341CC595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80" w:type="pct"/>
            <w:noWrap w:val="0"/>
            <w:vAlign w:val="center"/>
          </w:tcPr>
          <w:p w14:paraId="2CC6389E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4" w:type="pct"/>
            <w:noWrap w:val="0"/>
            <w:vAlign w:val="center"/>
          </w:tcPr>
          <w:p w14:paraId="7A3F2A2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4" w:type="pct"/>
            <w:noWrap w:val="0"/>
            <w:vAlign w:val="center"/>
          </w:tcPr>
          <w:p w14:paraId="1981610D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4" w:type="pct"/>
            <w:noWrap w:val="0"/>
            <w:vAlign w:val="center"/>
          </w:tcPr>
          <w:p w14:paraId="5604DF17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281" w:type="pct"/>
            <w:noWrap w:val="0"/>
            <w:vAlign w:val="center"/>
          </w:tcPr>
          <w:p w14:paraId="222157C4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96" w:type="pct"/>
            <w:noWrap w:val="0"/>
            <w:vAlign w:val="center"/>
          </w:tcPr>
          <w:p w14:paraId="23DADD71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4" w:type="pct"/>
            <w:noWrap w:val="0"/>
            <w:vAlign w:val="center"/>
          </w:tcPr>
          <w:p w14:paraId="6BD335DB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4" w:type="pct"/>
            <w:noWrap w:val="0"/>
            <w:vAlign w:val="center"/>
          </w:tcPr>
          <w:p w14:paraId="613FE230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4" w:type="pct"/>
            <w:noWrap w:val="0"/>
            <w:vAlign w:val="center"/>
          </w:tcPr>
          <w:p w14:paraId="5CBC7F68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332" w:type="pct"/>
            <w:noWrap w:val="0"/>
            <w:vAlign w:val="center"/>
          </w:tcPr>
          <w:p w14:paraId="251E4706"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val="en-US" w:eastAsia="zh-CN" w:bidi="ar-SA"/>
              </w:rPr>
              <w:t>0</w:t>
            </w:r>
          </w:p>
        </w:tc>
      </w:tr>
    </w:tbl>
    <w:p w14:paraId="27E4F23F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存在的问题及改进情况</w:t>
      </w:r>
    </w:p>
    <w:p w14:paraId="2750506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（一）存在问题</w:t>
      </w:r>
    </w:p>
    <w:p w14:paraId="5FA271A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是思想认识不够深刻到位。部分工作人员对政府信息公开工作的重要性、基础性认识存在偏差，未能充分认识到政务公开是保障群众知情权、提升政府公信力的关键举措，存在“重业务、轻公开”的倾向，主动公开的意识不强，对公开工作的重视程度未能贯穿工作全过程。</w:t>
      </w:r>
    </w:p>
    <w:p w14:paraId="2A0D4A0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"/>
        </w:rPr>
        <w:t>二是政务公开传播渠道较为单一，各类新媒体平台的功能未充分激活，运营管理精细化程度不够，未能形成多渠道联动的公开格局。</w:t>
      </w:r>
    </w:p>
    <w:p w14:paraId="661B5EF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（二）改进措施</w:t>
      </w:r>
    </w:p>
    <w:p w14:paraId="3CA331A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针对上述问题，我乡将聚焦短板弱项，精准发力从以下两方面推动政府信息公开工作提质增效、走深走实：</w:t>
      </w:r>
    </w:p>
    <w:p w14:paraId="425FD4D5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color w:val="auto"/>
          <w:kern w:val="2"/>
          <w:sz w:val="32"/>
          <w:szCs w:val="32"/>
          <w:lang w:val="en-US" w:eastAsia="zh-CN" w:bidi="ar"/>
        </w:rPr>
        <w:t>一是筑牢政务公开工作根基。进一步完善政务公开工作制度体系，细化公开流程规范，强化政务信息采集、审核、发布全流程管理，严格落实法定公开事项。</w:t>
      </w:r>
    </w:p>
    <w:p w14:paraId="7BA22237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ascii="仿宋_GB2312" w:hAnsi="宋体" w:eastAsia="仿宋_GB2312" w:cs="仿宋_GB2312"/>
          <w:color w:val="auto"/>
          <w:sz w:val="32"/>
          <w:szCs w:val="32"/>
        </w:rPr>
        <w:t>二是健全工</w:t>
      </w:r>
      <w:bookmarkStart w:id="1" w:name="_GoBack"/>
      <w:r>
        <w:rPr>
          <w:rFonts w:hint="eastAsia" w:ascii="仿宋_GB2312" w:hAnsi="宋体" w:eastAsia="仿宋_GB2312" w:cs="仿宋_GB2312"/>
          <w:color w:val="auto"/>
          <w:sz w:val="32"/>
          <w:szCs w:val="32"/>
        </w:rPr>
        <w:t>作机制，明确各科室信息公开责任清单，建立“事项办结即启动公开程序”的快速响应机制，设定信息发布时限。</w:t>
      </w:r>
      <w:bookmarkEnd w:id="1"/>
    </w:p>
    <w:p w14:paraId="072479FB">
      <w:pPr>
        <w:keepNext w:val="0"/>
        <w:keepLines w:val="0"/>
        <w:pageBreakBefore w:val="0"/>
        <w:widowControl/>
        <w:numPr>
          <w:ilvl w:val="0"/>
          <w:numId w:val="4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caps w:val="0"/>
          <w:color w:val="auto"/>
          <w:spacing w:val="0"/>
          <w:kern w:val="0"/>
          <w:sz w:val="32"/>
          <w:szCs w:val="32"/>
          <w:shd w:val="clear" w:color="090000" w:fill="FFFFFF"/>
          <w:lang w:val="en-US" w:eastAsia="zh-CN"/>
        </w:rPr>
        <w:t>其他需要报告的事项</w:t>
      </w:r>
    </w:p>
    <w:p w14:paraId="01469571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宋体" w:eastAsia="仿宋_GB2312" w:cs="黑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黑体"/>
          <w:color w:val="auto"/>
          <w:sz w:val="32"/>
          <w:szCs w:val="32"/>
          <w:lang w:val="en-US" w:eastAsia="zh-CN"/>
        </w:rPr>
        <w:t>2025年度我乡无收取信息处理费的情况</w:t>
      </w:r>
      <w:bookmarkEnd w:id="2"/>
      <w:r>
        <w:rPr>
          <w:rFonts w:hint="eastAsia" w:ascii="仿宋_GB2312" w:hAnsi="宋体" w:eastAsia="仿宋_GB2312" w:cs="黑体"/>
          <w:sz w:val="32"/>
          <w:szCs w:val="32"/>
          <w:lang w:val="en-US" w:eastAsia="zh-CN"/>
        </w:rPr>
        <w:t>。</w:t>
      </w:r>
    </w:p>
    <w:p w14:paraId="08C2780D"/>
    <w:sectPr>
      <w:footerReference r:id="rId3" w:type="default"/>
      <w:pgSz w:w="11906" w:h="16838"/>
      <w:pgMar w:top="1587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F4BF59B-7996-40B6-80BF-94276C7E1EE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590798D2-B17F-4094-99E6-7D15D2BF9D7B}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C41228DA-B9FC-48FF-93EA-832F84CC627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7D92DEB-73F7-4ED5-8A6E-D2E6A34E08FB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D52AD187-5CB9-4156-A9BF-D80C7571BFE5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7AFA90"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黑体"/>
        <w:kern w:val="2"/>
        <w:sz w:val="18"/>
        <w:szCs w:val="24"/>
        <w:lang w:val="en-US" w:eastAsia="zh-CN" w:bidi="ar-SA"/>
      </w:rPr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12C1474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hint="eastAsia" w:ascii="Calibri" w:hAnsi="Calibri" w:eastAsia="宋体" w:cs="黑体"/>
                              <w:kern w:val="2"/>
                              <w:sz w:val="18"/>
                              <w:szCs w:val="24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Calibri" w:hAnsi="Calibri" w:eastAsia="宋体" w:cs="黑体"/>
                              <w:kern w:val="2"/>
                              <w:sz w:val="18"/>
                              <w:szCs w:val="24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Calibri" w:hAnsi="Calibri" w:eastAsia="宋体" w:cs="黑体"/>
                              <w:kern w:val="2"/>
                              <w:sz w:val="18"/>
                              <w:szCs w:val="24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Calibri" w:hAnsi="Calibri" w:eastAsia="宋体" w:cs="黑体"/>
                              <w:kern w:val="2"/>
                              <w:sz w:val="18"/>
                              <w:szCs w:val="24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hint="eastAsia" w:ascii="Calibri" w:hAnsi="Calibri" w:eastAsia="宋体" w:cs="黑体"/>
                              <w:kern w:val="2"/>
                              <w:sz w:val="18"/>
                              <w:szCs w:val="24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hint="eastAsia" w:ascii="Calibri" w:hAnsi="Calibri" w:eastAsia="宋体" w:cs="黑体"/>
                              <w:kern w:val="2"/>
                              <w:sz w:val="18"/>
                              <w:szCs w:val="24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Ll1uVLQAAAABQEAAA8AAAAAAAAAAQAg&#10;AAAAIgAAAGRycy9kb3ducmV2LnhtbFBLAQIUABQAAAAIAIdO4kB5uYki3QEAAMIDAAAOAAAAAAAA&#10;AAEAIAAAAB8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12C1474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hint="eastAsia" w:ascii="Calibri" w:hAnsi="Calibri" w:eastAsia="宋体" w:cs="黑体"/>
                        <w:kern w:val="2"/>
                        <w:sz w:val="18"/>
                        <w:szCs w:val="24"/>
                        <w:lang w:val="en-US" w:eastAsia="zh-CN" w:bidi="ar-SA"/>
                      </w:rPr>
                    </w:pPr>
                    <w:r>
                      <w:rPr>
                        <w:rFonts w:hint="eastAsia" w:ascii="Calibri" w:hAnsi="Calibri" w:eastAsia="宋体" w:cs="黑体"/>
                        <w:kern w:val="2"/>
                        <w:sz w:val="18"/>
                        <w:szCs w:val="24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Calibri" w:hAnsi="Calibri" w:eastAsia="宋体" w:cs="黑体"/>
                        <w:kern w:val="2"/>
                        <w:sz w:val="18"/>
                        <w:szCs w:val="24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Calibri" w:hAnsi="Calibri" w:eastAsia="宋体" w:cs="黑体"/>
                        <w:kern w:val="2"/>
                        <w:sz w:val="18"/>
                        <w:szCs w:val="24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hint="eastAsia" w:ascii="Calibri" w:hAnsi="Calibri" w:eastAsia="宋体" w:cs="黑体"/>
                        <w:kern w:val="2"/>
                        <w:sz w:val="18"/>
                        <w:szCs w:val="24"/>
                        <w:lang w:val="en-US" w:eastAsia="zh-CN" w:bidi="ar-SA"/>
                      </w:rPr>
                      <w:t>1</w:t>
                    </w:r>
                    <w:r>
                      <w:rPr>
                        <w:rFonts w:hint="eastAsia" w:ascii="Calibri" w:hAnsi="Calibri" w:eastAsia="宋体" w:cs="黑体"/>
                        <w:kern w:val="2"/>
                        <w:sz w:val="18"/>
                        <w:szCs w:val="24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CF548709"/>
    <w:multiLevelType w:val="singleLevel"/>
    <w:tmpl w:val="CF54870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DE1B6C4D"/>
    <w:multiLevelType w:val="singleLevel"/>
    <w:tmpl w:val="DE1B6C4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97D2E63"/>
    <w:rsid w:val="36BE7B9B"/>
    <w:rsid w:val="A97D2E63"/>
    <w:rsid w:val="EF73976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1705</Words>
  <Characters>1735</Characters>
  <Lines>0</Lines>
  <Paragraphs>0</Paragraphs>
  <TotalTime>4</TotalTime>
  <ScaleCrop>false</ScaleCrop>
  <LinksUpToDate>false</LinksUpToDate>
  <CharactersWithSpaces>1740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2026-01-14T22:46:00Z</dcterms:created>
  <dc:creator>uos</dc:creator>
  <cp:lastModifiedBy>来日方长。</cp:lastModifiedBy>
  <dcterms:modified xsi:type="dcterms:W3CDTF">2026-01-18T02:12:02Z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9628BBD558694824B39FAC4050E46B23_13</vt:lpwstr>
  </property>
  <property fmtid="{D5CDD505-2E9C-101B-9397-08002B2CF9AE}" pid="4" name="KSOTemplateDocerSaveRecord">
    <vt:lpwstr>eyJoZGlkIjoiOGMxYmRkNDUxMzQxYzEwY2M3ZGFkYTQwNDIzZDA5MzkiLCJ1c2VySWQiOiI0MTI5MTczNDUifQ==</vt:lpwstr>
  </property>
</Properties>
</file>