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952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井陉县苍岩山镇人民政府2025年政府信息公开工作年度报告</w:t>
      </w:r>
    </w:p>
    <w:p w14:paraId="3F24BF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  <w:t>一、总体情况</w:t>
      </w:r>
    </w:p>
    <w:p w14:paraId="32F4E03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2025年，苍岩山镇人民政府深入落实上级政务公开决策部署，秉持以人民为中心理念，严格遵循《条例》要求，聚焦群众需求与镇域发展重点，深化政务公开标准化规范化建设。通过调整完善工作领导小组、细化职责清单，筑牢工作基础；聚焦核心领域强化主动公开，规</w:t>
      </w:r>
      <w:bookmarkStart w:id="0" w:name="_GoBack"/>
      <w:bookmarkEnd w:id="0"/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范依申请公开办理流程；整合线上线下公开渠道，构建多元公开体系；将政务公开纳入考核并强化督查，全面保障群众知情权、参与权，推动政务公开工作提质增效。</w:t>
      </w:r>
    </w:p>
    <w:p w14:paraId="2696946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  <w:t>（一）主动公开工作推进情况</w:t>
      </w:r>
    </w:p>
    <w:p w14:paraId="53284C7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聚焦镇域重点工作和群众关切，精准划定公开范围，细化公开内容。重点公开文旅康养产业发展、基础设施建设、民生保障、安全生产、乡村振兴等领域信息，主动公开政府决策、工作动态、政策解读、通知公告等内容，确保公开信息贴合群众需求。</w:t>
      </w:r>
    </w:p>
    <w:p w14:paraId="6AF408F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  <w:t>（二）依申请公开工作规范情况</w:t>
      </w:r>
    </w:p>
    <w:p w14:paraId="7EDCFA5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健全完善依申请公开工作机制，明确申请接收、登记、审核、办理、答复等全流程工作规范，细化不同类型申请的处理标准和时限要求。设立专门申请接收窗口，畅通线上邮箱、线下当面申请等渠道，确保群众申请得到及时响应。安排专人负责依申请公开工作，加强与相关站办所的协同联动，提升答复的规范性和准确性。</w:t>
      </w:r>
    </w:p>
    <w:p w14:paraId="5F0E07C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  <w:t>（三）政府信息管理情况</w:t>
      </w:r>
    </w:p>
    <w:p w14:paraId="69D021D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建立健全政府信息发布审查机制，实行“站办所负责人初审、分管领导复审、主要领导终审”的三级审核制度，确保公开信息内容真实、准确、合规，严防涉密信息泄露。分类梳理镇域政府信息资源，建立完善信息台账，对政策文件、工作动态等不同类型信息实行规范化管理，提升信息检索和利用效率。加强信息发布后续跟踪管理，对已公开信息进行定期排查更新，及时修正错误信息，确保信息时效性。</w:t>
      </w:r>
    </w:p>
    <w:p w14:paraId="045ED36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  <w:t>（四）公开平台建设情况</w:t>
      </w:r>
    </w:p>
    <w:p w14:paraId="7050357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优化整合公开平台资源，构建“网站+微信公众号+政务服务窗口”多元公开格局。升级完善井陉县政府门户网站苍岩山镇专栏，优化页面布局，增设“文旅康养发展”“民生实事推进”等特色栏目，方便群众快速获取重点领域信息；用好“魅力苍岩山”微信公众号，常态化发布工作动态、活动资讯、政策解读等内容，增强信息传播的便捷性和互动性；依托镇政务服务中心窗口，设置信息公开查阅点，配备便民查阅设备，安排工作人员提供咨询引导服务，满足群众线下查阅需求。</w:t>
      </w:r>
    </w:p>
    <w:p w14:paraId="4C4BCCF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  <w:t>（五）监督保障情况</w:t>
      </w:r>
    </w:p>
    <w:p w14:paraId="5006A05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将政府信息公开工作纳入年度绩效考核体系，明确考核指标和奖惩办法，压实各站办所及相关工作人员责任。建立日常巡查、季度通报、年度考核相结合的监督机制，定期对信息公开数量、质量、时效等情况进行检查评估，对发现的问题及时督促整改。加强业务培训，组织工作人员学习《中华人民共和国政府信息公开条例》及相关政策文件，提升业务能力和专业水平，确保信息公开工作规范有序推进。</w:t>
      </w:r>
    </w:p>
    <w:p w14:paraId="7F994DD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  <w:t>主动公开政府信息情况</w:t>
      </w:r>
    </w:p>
    <w:tbl>
      <w:tblPr>
        <w:tblStyle w:val="5"/>
        <w:tblW w:w="8281" w:type="dxa"/>
        <w:jc w:val="center"/>
        <w:tblBorders>
          <w:top w:val="single" w:color="auto" w:sz="0" w:space="0"/>
          <w:left w:val="single" w:color="auto" w:sz="0" w:space="0"/>
          <w:bottom w:val="single" w:color="auto" w:sz="0" w:space="0"/>
          <w:right w:val="single" w:color="auto" w:sz="0" w:space="0"/>
          <w:insideH w:val="single" w:color="auto" w:sz="0" w:space="0"/>
          <w:insideV w:val="single" w:color="auto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341"/>
        <w:gridCol w:w="2040"/>
        <w:gridCol w:w="1815"/>
        <w:gridCol w:w="2085"/>
      </w:tblGrid>
      <w:tr w14:paraId="68FBBE41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atLeast"/>
          <w:jc w:val="center"/>
        </w:trPr>
        <w:tc>
          <w:tcPr>
            <w:tcW w:w="8281" w:type="dxa"/>
            <w:gridSpan w:val="4"/>
            <w:shd w:val="clear" w:color="auto" w:fill="D6DCE5" w:themeFill="text2" w:themeFillTint="32"/>
            <w:vAlign w:val="top"/>
          </w:tcPr>
          <w:p w14:paraId="3C685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第二十条第（一）项</w:t>
            </w:r>
          </w:p>
        </w:tc>
      </w:tr>
      <w:tr w14:paraId="061E0E91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481D9E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信息内容</w:t>
            </w:r>
          </w:p>
        </w:tc>
        <w:tc>
          <w:tcPr>
            <w:tcW w:w="2040" w:type="dxa"/>
            <w:shd w:val="clear" w:color="auto" w:fill="91ABDF" w:themeFill="accent1" w:themeFillTint="99"/>
            <w:vAlign w:val="top"/>
          </w:tcPr>
          <w:p w14:paraId="487C1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0" w:line="240" w:lineRule="atLeast"/>
              <w:ind w:firstLine="300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本年制发件数</w:t>
            </w:r>
          </w:p>
        </w:tc>
        <w:tc>
          <w:tcPr>
            <w:tcW w:w="1815" w:type="dxa"/>
            <w:shd w:val="clear" w:color="auto" w:fill="91ABDF" w:themeFill="accent1" w:themeFillTint="99"/>
            <w:vAlign w:val="top"/>
          </w:tcPr>
          <w:p w14:paraId="5ACAF1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ind w:firstLine="280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本年废止件数</w:t>
            </w:r>
          </w:p>
        </w:tc>
        <w:tc>
          <w:tcPr>
            <w:tcW w:w="2085" w:type="dxa"/>
            <w:shd w:val="clear" w:color="auto" w:fill="91ABDF" w:themeFill="accent1" w:themeFillTint="99"/>
            <w:vAlign w:val="top"/>
          </w:tcPr>
          <w:p w14:paraId="34E244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ind w:firstLine="400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现行有效件数</w:t>
            </w:r>
          </w:p>
        </w:tc>
      </w:tr>
      <w:tr w14:paraId="729487D7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62775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0" w:line="240" w:lineRule="atLeast"/>
              <w:jc w:val="left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规章</w:t>
            </w:r>
          </w:p>
        </w:tc>
        <w:tc>
          <w:tcPr>
            <w:tcW w:w="2040" w:type="dxa"/>
            <w:shd w:val="clear" w:color="auto" w:fill="91ABDF" w:themeFill="accent1" w:themeFillTint="99"/>
            <w:vAlign w:val="top"/>
          </w:tcPr>
          <w:p w14:paraId="69DAA6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692562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815" w:type="dxa"/>
            <w:shd w:val="clear" w:color="auto" w:fill="91ABDF" w:themeFill="accent1" w:themeFillTint="99"/>
            <w:vAlign w:val="top"/>
          </w:tcPr>
          <w:p w14:paraId="12244F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293CB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85" w:type="dxa"/>
            <w:shd w:val="clear" w:color="auto" w:fill="91ABDF" w:themeFill="accent1" w:themeFillTint="99"/>
            <w:vAlign w:val="top"/>
          </w:tcPr>
          <w:p w14:paraId="1F183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7D256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689CC6E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06DDC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0" w:line="240" w:lineRule="atLeast"/>
              <w:jc w:val="left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行政规范性文件</w:t>
            </w:r>
          </w:p>
        </w:tc>
        <w:tc>
          <w:tcPr>
            <w:tcW w:w="2040" w:type="dxa"/>
            <w:shd w:val="clear" w:color="auto" w:fill="91ABDF" w:themeFill="accent1" w:themeFillTint="99"/>
            <w:vAlign w:val="top"/>
          </w:tcPr>
          <w:p w14:paraId="5BF75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417BA5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815" w:type="dxa"/>
            <w:shd w:val="clear" w:color="auto" w:fill="91ABDF" w:themeFill="accent1" w:themeFillTint="99"/>
            <w:vAlign w:val="top"/>
          </w:tcPr>
          <w:p w14:paraId="13584C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00AE5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85" w:type="dxa"/>
            <w:shd w:val="clear" w:color="auto" w:fill="91ABDF" w:themeFill="accent1" w:themeFillTint="99"/>
            <w:vAlign w:val="top"/>
          </w:tcPr>
          <w:p w14:paraId="37E02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33AAF8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3B02F48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8281" w:type="dxa"/>
            <w:gridSpan w:val="4"/>
            <w:shd w:val="clear" w:color="auto" w:fill="D6DCE5" w:themeFill="text2" w:themeFillTint="32"/>
            <w:vAlign w:val="top"/>
          </w:tcPr>
          <w:p w14:paraId="6377AB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jc w:val="center"/>
              <w:textAlignment w:val="auto"/>
              <w:rPr>
                <w:rFonts w:ascii="等线" w:hAnsi="等线" w:eastAsia="等线" w:cs="等线"/>
                <w:color w:val="000000"/>
                <w:sz w:val="20"/>
              </w:rPr>
            </w:pPr>
            <w:r>
              <w:rPr>
                <w:rFonts w:ascii="等线" w:hAnsi="等线" w:eastAsia="等线" w:cs="等线"/>
                <w:color w:val="000000"/>
                <w:sz w:val="20"/>
              </w:rPr>
              <w:t>第二十条第（五）项</w:t>
            </w:r>
          </w:p>
        </w:tc>
      </w:tr>
      <w:tr w14:paraId="3A08B11B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0DA430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信息内容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663834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本年处理决定数量</w:t>
            </w:r>
          </w:p>
        </w:tc>
      </w:tr>
      <w:tr w14:paraId="02957015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08FE7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0" w:line="240" w:lineRule="atLeast"/>
              <w:jc w:val="left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行政许可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5536A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6516A6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153</w:t>
            </w:r>
          </w:p>
        </w:tc>
      </w:tr>
      <w:tr w14:paraId="305B79DE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8281" w:type="dxa"/>
            <w:gridSpan w:val="4"/>
            <w:shd w:val="clear" w:color="auto" w:fill="D6DCE5" w:themeFill="text2" w:themeFillTint="32"/>
            <w:vAlign w:val="top"/>
          </w:tcPr>
          <w:p w14:paraId="523E9F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第二十条第（六）项</w:t>
            </w:r>
          </w:p>
        </w:tc>
      </w:tr>
      <w:tr w14:paraId="41488D1A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04AB99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信息内容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3407E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本年处理决定数量</w:t>
            </w:r>
          </w:p>
        </w:tc>
      </w:tr>
      <w:tr w14:paraId="4576E8EB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13556B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0" w:line="240" w:lineRule="atLeast"/>
              <w:ind w:firstLine="20"/>
              <w:jc w:val="left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行政处罚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1C578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128975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07B62AE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7AE31A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0" w:line="240" w:lineRule="atLeast"/>
              <w:ind w:firstLine="0"/>
              <w:jc w:val="left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行政强制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3F1F1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1C8880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59596E1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8" w:hRule="atLeast"/>
          <w:jc w:val="center"/>
        </w:trPr>
        <w:tc>
          <w:tcPr>
            <w:tcW w:w="8281" w:type="dxa"/>
            <w:gridSpan w:val="4"/>
            <w:shd w:val="clear" w:color="auto" w:fill="D6DCE5" w:themeFill="text2" w:themeFillTint="32"/>
            <w:vAlign w:val="top"/>
          </w:tcPr>
          <w:p w14:paraId="1C982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第二十条第（八）项</w:t>
            </w:r>
          </w:p>
        </w:tc>
      </w:tr>
      <w:tr w14:paraId="381A706A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54C45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信息内容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53D8C1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line="240" w:lineRule="atLeast"/>
              <w:jc w:val="center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本年收费金额（单位：万元）</w:t>
            </w:r>
          </w:p>
        </w:tc>
      </w:tr>
      <w:tr w14:paraId="74A391D1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8" w:hRule="atLeast"/>
          <w:jc w:val="center"/>
        </w:trPr>
        <w:tc>
          <w:tcPr>
            <w:tcW w:w="2341" w:type="dxa"/>
            <w:shd w:val="clear" w:color="auto" w:fill="91ABDF" w:themeFill="accent1" w:themeFillTint="99"/>
            <w:vAlign w:val="top"/>
          </w:tcPr>
          <w:p w14:paraId="292E4F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0" w:line="240" w:lineRule="atLeast"/>
              <w:jc w:val="left"/>
              <w:textAlignment w:val="auto"/>
            </w:pPr>
            <w:r>
              <w:rPr>
                <w:rFonts w:ascii="等线" w:hAnsi="等线" w:eastAsia="等线" w:cs="等线"/>
                <w:color w:val="000000"/>
                <w:sz w:val="20"/>
              </w:rPr>
              <w:t>行政事业性收费</w:t>
            </w:r>
          </w:p>
        </w:tc>
        <w:tc>
          <w:tcPr>
            <w:tcW w:w="5940" w:type="dxa"/>
            <w:gridSpan w:val="3"/>
            <w:shd w:val="clear" w:color="auto" w:fill="91ABDF" w:themeFill="accent1" w:themeFillTint="99"/>
            <w:vAlign w:val="top"/>
          </w:tcPr>
          <w:p w14:paraId="452F39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 w14:paraId="436719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5FAE7AF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  <w:t>收到和处理政府信息公开申请情况</w:t>
      </w:r>
    </w:p>
    <w:p w14:paraId="0E6180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 w:right="0" w:rightChars="0"/>
        <w:jc w:val="left"/>
        <w:textAlignment w:val="auto"/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</w:pPr>
    </w:p>
    <w:tbl>
      <w:tblPr>
        <w:tblStyle w:val="5"/>
        <w:tblpPr w:leftFromText="180" w:rightFromText="180" w:vertAnchor="text" w:horzAnchor="page" w:tblpX="1576" w:tblpY="588"/>
        <w:tblOverlap w:val="never"/>
        <w:tblW w:w="8381" w:type="dxa"/>
        <w:tblInd w:w="0" w:type="dxa"/>
        <w:tblBorders>
          <w:top w:val="single" w:color="auto" w:sz="0" w:space="0"/>
          <w:left w:val="single" w:color="auto" w:sz="0" w:space="0"/>
          <w:bottom w:val="single" w:color="auto" w:sz="0" w:space="0"/>
          <w:right w:val="single" w:color="auto" w:sz="0" w:space="0"/>
          <w:insideH w:val="single" w:color="auto" w:sz="0" w:space="0"/>
          <w:insideV w:val="single" w:color="auto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98"/>
        <w:gridCol w:w="600"/>
        <w:gridCol w:w="2625"/>
        <w:gridCol w:w="643"/>
        <w:gridCol w:w="585"/>
        <w:gridCol w:w="660"/>
        <w:gridCol w:w="705"/>
        <w:gridCol w:w="630"/>
        <w:gridCol w:w="660"/>
        <w:gridCol w:w="675"/>
      </w:tblGrid>
      <w:tr w14:paraId="146129E4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0" w:hRule="atLeast"/>
        </w:trPr>
        <w:tc>
          <w:tcPr>
            <w:tcW w:w="3823" w:type="dxa"/>
            <w:gridSpan w:val="3"/>
            <w:vMerge w:val="restart"/>
            <w:shd w:val="clear" w:color="auto" w:fill="DBE3F4" w:themeFill="accent1" w:themeFillTint="32"/>
          </w:tcPr>
          <w:p w14:paraId="00A45F72">
            <w:pPr>
              <w:spacing w:before="480" w:line="280" w:lineRule="atLeast"/>
              <w:ind w:firstLine="320"/>
              <w:jc w:val="center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（本列数据的勾稽关系为：第一项加第二项之和，等于第三项加第四项之和）</w:t>
            </w:r>
          </w:p>
        </w:tc>
        <w:tc>
          <w:tcPr>
            <w:tcW w:w="4558" w:type="dxa"/>
            <w:gridSpan w:val="7"/>
            <w:shd w:val="clear" w:color="auto" w:fill="DBE3F4" w:themeFill="accent1" w:themeFillTint="32"/>
          </w:tcPr>
          <w:p w14:paraId="42E76C6A">
            <w:pPr>
              <w:spacing w:before="0" w:line="280" w:lineRule="atLeast"/>
              <w:ind w:firstLine="198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申请人情况</w:t>
            </w:r>
          </w:p>
        </w:tc>
      </w:tr>
      <w:tr w14:paraId="50EF69FA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0" w:hRule="atLeast"/>
        </w:trPr>
        <w:tc>
          <w:tcPr>
            <w:tcW w:w="3823" w:type="dxa"/>
            <w:gridSpan w:val="3"/>
            <w:vMerge w:val="continue"/>
            <w:shd w:val="clear" w:color="auto" w:fill="DBE3F4" w:themeFill="accent1" w:themeFillTint="32"/>
          </w:tcPr>
          <w:p w14:paraId="6CCDC9D7"/>
        </w:tc>
        <w:tc>
          <w:tcPr>
            <w:tcW w:w="643" w:type="dxa"/>
            <w:vMerge w:val="restart"/>
            <w:shd w:val="clear" w:color="auto" w:fill="DBE3F4" w:themeFill="accent1" w:themeFillTint="32"/>
          </w:tcPr>
          <w:p w14:paraId="6C0ADB3A">
            <w:pPr>
              <w:spacing w:before="440" w:line="280" w:lineRule="atLeast"/>
              <w:ind w:firstLine="2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自然人</w:t>
            </w:r>
          </w:p>
        </w:tc>
        <w:tc>
          <w:tcPr>
            <w:tcW w:w="3240" w:type="dxa"/>
            <w:gridSpan w:val="5"/>
            <w:shd w:val="clear" w:color="auto" w:fill="DBE3F4" w:themeFill="accent1" w:themeFillTint="32"/>
          </w:tcPr>
          <w:p w14:paraId="517C2397">
            <w:pPr>
              <w:spacing w:before="0" w:line="300" w:lineRule="atLeast"/>
              <w:ind w:firstLine="96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法人或其他组织</w:t>
            </w:r>
          </w:p>
        </w:tc>
        <w:tc>
          <w:tcPr>
            <w:tcW w:w="675" w:type="dxa"/>
            <w:vMerge w:val="restart"/>
            <w:shd w:val="clear" w:color="auto" w:fill="DBE3F4" w:themeFill="accent1" w:themeFillTint="32"/>
          </w:tcPr>
          <w:p w14:paraId="222A133F">
            <w:pPr>
              <w:spacing w:before="460" w:line="240" w:lineRule="atLeast"/>
              <w:ind w:firstLine="18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总计</w:t>
            </w:r>
          </w:p>
        </w:tc>
      </w:tr>
      <w:tr w14:paraId="3F6B7B9C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96" w:hRule="atLeast"/>
        </w:trPr>
        <w:tc>
          <w:tcPr>
            <w:tcW w:w="3823" w:type="dxa"/>
            <w:gridSpan w:val="3"/>
            <w:vMerge w:val="continue"/>
            <w:shd w:val="clear" w:color="auto" w:fill="DBE3F4" w:themeFill="accent1" w:themeFillTint="32"/>
          </w:tcPr>
          <w:p w14:paraId="0EE59844"/>
        </w:tc>
        <w:tc>
          <w:tcPr>
            <w:tcW w:w="643" w:type="dxa"/>
            <w:vMerge w:val="continue"/>
            <w:shd w:val="clear" w:color="auto" w:fill="DBE3F4" w:themeFill="accent1" w:themeFillTint="32"/>
          </w:tcPr>
          <w:p w14:paraId="52838761"/>
        </w:tc>
        <w:tc>
          <w:tcPr>
            <w:tcW w:w="585" w:type="dxa"/>
            <w:shd w:val="clear" w:color="auto" w:fill="DBE3F4" w:themeFill="accent1" w:themeFillTint="32"/>
          </w:tcPr>
          <w:p w14:paraId="1031CEB0">
            <w:pPr>
              <w:spacing w:before="0" w:line="30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商业</w:t>
            </w:r>
          </w:p>
          <w:p w14:paraId="59845CE2">
            <w:pPr>
              <w:spacing w:before="0" w:line="28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企业</w:t>
            </w:r>
          </w:p>
        </w:tc>
        <w:tc>
          <w:tcPr>
            <w:tcW w:w="660" w:type="dxa"/>
            <w:shd w:val="clear" w:color="auto" w:fill="DBE3F4" w:themeFill="accent1" w:themeFillTint="32"/>
          </w:tcPr>
          <w:p w14:paraId="665C731A">
            <w:pPr>
              <w:spacing w:before="0" w:line="26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科研</w:t>
            </w:r>
          </w:p>
          <w:p w14:paraId="083E13CD">
            <w:pPr>
              <w:spacing w:before="0" w:line="24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机构</w:t>
            </w:r>
          </w:p>
        </w:tc>
        <w:tc>
          <w:tcPr>
            <w:tcW w:w="705" w:type="dxa"/>
            <w:shd w:val="clear" w:color="auto" w:fill="DBE3F4" w:themeFill="accent1" w:themeFillTint="32"/>
          </w:tcPr>
          <w:p w14:paraId="778E931C">
            <w:pPr>
              <w:spacing w:before="0" w:line="260" w:lineRule="atLeast"/>
              <w:ind w:firstLine="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社会公</w:t>
            </w:r>
          </w:p>
          <w:p w14:paraId="194871C3">
            <w:pPr>
              <w:spacing w:before="0" w:line="260" w:lineRule="atLeast"/>
              <w:ind w:firstLine="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益组织</w:t>
            </w:r>
          </w:p>
        </w:tc>
        <w:tc>
          <w:tcPr>
            <w:tcW w:w="630" w:type="dxa"/>
            <w:shd w:val="clear" w:color="auto" w:fill="DBE3F4" w:themeFill="accent1" w:themeFillTint="32"/>
          </w:tcPr>
          <w:p w14:paraId="366D1B0C">
            <w:pPr>
              <w:spacing w:before="0" w:line="260" w:lineRule="atLeast"/>
              <w:ind w:hanging="2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法律服</w:t>
            </w:r>
          </w:p>
          <w:p w14:paraId="5D40C2E6">
            <w:pPr>
              <w:spacing w:before="0" w:line="280" w:lineRule="atLeast"/>
              <w:ind w:hanging="2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务机构</w:t>
            </w:r>
          </w:p>
        </w:tc>
        <w:tc>
          <w:tcPr>
            <w:tcW w:w="660" w:type="dxa"/>
            <w:shd w:val="clear" w:color="auto" w:fill="DBE3F4" w:themeFill="accent1" w:themeFillTint="32"/>
          </w:tcPr>
          <w:p w14:paraId="210A7E5A">
            <w:pPr>
              <w:spacing w:before="260" w:line="220" w:lineRule="atLeast"/>
              <w:ind w:firstLine="14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其他</w:t>
            </w:r>
          </w:p>
        </w:tc>
        <w:tc>
          <w:tcPr>
            <w:tcW w:w="675" w:type="dxa"/>
            <w:vMerge w:val="continue"/>
            <w:shd w:val="clear" w:color="auto" w:fill="DBE3F4" w:themeFill="accent1" w:themeFillTint="32"/>
          </w:tcPr>
          <w:p w14:paraId="3B7C8F9A"/>
        </w:tc>
      </w:tr>
      <w:tr w14:paraId="153E3B26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0" w:hRule="atLeast"/>
        </w:trPr>
        <w:tc>
          <w:tcPr>
            <w:tcW w:w="3823" w:type="dxa"/>
            <w:gridSpan w:val="3"/>
            <w:shd w:val="clear" w:color="auto" w:fill="DBE3F4" w:themeFill="accent1" w:themeFillTint="32"/>
          </w:tcPr>
          <w:p w14:paraId="282E36D2">
            <w:pPr>
              <w:spacing w:before="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一、本年新收政府信息公开申请数量</w:t>
            </w:r>
          </w:p>
        </w:tc>
        <w:tc>
          <w:tcPr>
            <w:tcW w:w="643" w:type="dxa"/>
            <w:shd w:val="clear" w:color="auto" w:fill="DBE3F4" w:themeFill="accent1" w:themeFillTint="32"/>
          </w:tcPr>
          <w:p w14:paraId="293B401D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</w:tcPr>
          <w:p w14:paraId="65120E11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</w:tcPr>
          <w:p w14:paraId="2532FDC8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</w:tcPr>
          <w:p w14:paraId="365D011D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</w:tcPr>
          <w:p w14:paraId="05A12CA7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</w:tcPr>
          <w:p w14:paraId="76B89C30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</w:tcPr>
          <w:p w14:paraId="44AED4D2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E1ABDB8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5" w:hRule="atLeast"/>
        </w:trPr>
        <w:tc>
          <w:tcPr>
            <w:tcW w:w="3823" w:type="dxa"/>
            <w:gridSpan w:val="3"/>
            <w:shd w:val="clear" w:color="auto" w:fill="DBE3F4" w:themeFill="accent1" w:themeFillTint="32"/>
          </w:tcPr>
          <w:p w14:paraId="48707643">
            <w:pPr>
              <w:spacing w:before="0" w:line="28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二、上年结转政府信息公开申请数量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6D80CCB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3F1274E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286918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1D3AC14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599494F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470C5B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4CDCC4D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6769034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5" w:hRule="atLeast"/>
        </w:trPr>
        <w:tc>
          <w:tcPr>
            <w:tcW w:w="598" w:type="dxa"/>
            <w:vMerge w:val="restart"/>
            <w:shd w:val="clear" w:color="auto" w:fill="DBE3F4" w:themeFill="accent1" w:themeFillTint="32"/>
          </w:tcPr>
          <w:p w14:paraId="75BA0BFF">
            <w:pPr>
              <w:spacing w:before="5220" w:line="260" w:lineRule="atLeast"/>
              <w:ind w:firstLine="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三、本年度办理结果</w:t>
            </w:r>
          </w:p>
        </w:tc>
        <w:tc>
          <w:tcPr>
            <w:tcW w:w="3225" w:type="dxa"/>
            <w:gridSpan w:val="2"/>
            <w:shd w:val="clear" w:color="auto" w:fill="DBE3F4" w:themeFill="accent1" w:themeFillTint="32"/>
          </w:tcPr>
          <w:p w14:paraId="3C10414F">
            <w:pPr>
              <w:spacing w:before="0" w:line="260" w:lineRule="atLeast"/>
              <w:ind w:firstLine="14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（一）予以公开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30BC764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7C28F0F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E0E8AE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507726E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73CD45A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4A47763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296A430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D99DEFD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1C502BF3"/>
        </w:tc>
        <w:tc>
          <w:tcPr>
            <w:tcW w:w="3225" w:type="dxa"/>
            <w:gridSpan w:val="2"/>
            <w:shd w:val="clear" w:color="auto" w:fill="DBE3F4" w:themeFill="accent1" w:themeFillTint="32"/>
          </w:tcPr>
          <w:p w14:paraId="12E948E4">
            <w:pPr>
              <w:spacing w:before="0" w:line="260" w:lineRule="atLeast"/>
              <w:ind w:firstLine="14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（二）部分公开（区分处理的，只计这一情形，不计其他情形）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0319B4D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036CFD96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341E57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58947EA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0A28BB1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1E6B2F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2C911D1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027DFBA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283CB7FD"/>
        </w:tc>
        <w:tc>
          <w:tcPr>
            <w:tcW w:w="600" w:type="dxa"/>
            <w:vMerge w:val="restart"/>
            <w:shd w:val="clear" w:color="auto" w:fill="DBE3F4" w:themeFill="accent1" w:themeFillTint="32"/>
          </w:tcPr>
          <w:p w14:paraId="42C3F7EC">
            <w:pPr>
              <w:spacing w:before="1460" w:line="24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（三）不予公开</w:t>
            </w:r>
          </w:p>
        </w:tc>
        <w:tc>
          <w:tcPr>
            <w:tcW w:w="2625" w:type="dxa"/>
            <w:shd w:val="clear" w:color="auto" w:fill="DBE3F4" w:themeFill="accent1" w:themeFillTint="32"/>
          </w:tcPr>
          <w:p w14:paraId="0B5CC588">
            <w:pPr>
              <w:spacing w:before="0" w:line="24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1.属于国家秘密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5C09427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1BC7250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7F3B11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0D83EA1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397F5FA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1B05A40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522B891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1CADF0F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4224F7F3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24D525E8"/>
        </w:tc>
        <w:tc>
          <w:tcPr>
            <w:tcW w:w="2625" w:type="dxa"/>
            <w:shd w:val="clear" w:color="auto" w:fill="DBE3F4" w:themeFill="accent1" w:themeFillTint="32"/>
          </w:tcPr>
          <w:p w14:paraId="1D2E3223">
            <w:pPr>
              <w:spacing w:before="0" w:line="28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2.其他法律行政法规禁止公开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0356F5C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374A463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31133E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2E996DF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6483D30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4F2E44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0919F9F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AF34B53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29393B87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5AA5C32E"/>
        </w:tc>
        <w:tc>
          <w:tcPr>
            <w:tcW w:w="2625" w:type="dxa"/>
            <w:shd w:val="clear" w:color="auto" w:fill="DBE3F4" w:themeFill="accent1" w:themeFillTint="32"/>
          </w:tcPr>
          <w:p w14:paraId="3477F854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3.危及“三安全一稳定”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58B1A10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1162669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1018143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371ECCF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7167F08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C6A340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699C9B4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28A540D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0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5F0FF9F7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1F55F582"/>
        </w:tc>
        <w:tc>
          <w:tcPr>
            <w:tcW w:w="2625" w:type="dxa"/>
            <w:shd w:val="clear" w:color="auto" w:fill="DBE3F4" w:themeFill="accent1" w:themeFillTint="32"/>
          </w:tcPr>
          <w:p w14:paraId="4AE708C8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4.保护第三方合法权益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63E867F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3E1BF80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8621B2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6BBC1EA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005FF0C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A8A34D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5F25921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11D7332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0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110478DB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3FF83491"/>
        </w:tc>
        <w:tc>
          <w:tcPr>
            <w:tcW w:w="2625" w:type="dxa"/>
            <w:shd w:val="clear" w:color="auto" w:fill="DBE3F4" w:themeFill="accent1" w:themeFillTint="32"/>
          </w:tcPr>
          <w:p w14:paraId="56E9E6E2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5.属于三类内部事务信息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54B3E1D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7B3EC7C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5173BB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6D22480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74D62C26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5B4909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59F922B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A036456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62DEB2A5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5B395E0F"/>
        </w:tc>
        <w:tc>
          <w:tcPr>
            <w:tcW w:w="2625" w:type="dxa"/>
            <w:shd w:val="clear" w:color="auto" w:fill="DBE3F4" w:themeFill="accent1" w:themeFillTint="32"/>
          </w:tcPr>
          <w:p w14:paraId="2DD28795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6.属于四类过程性信息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0EFF5E4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39906CB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94228D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2B9D206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53C8961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4E1D02A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620510A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4555024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60A5FCB5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6E9A6E77"/>
        </w:tc>
        <w:tc>
          <w:tcPr>
            <w:tcW w:w="2625" w:type="dxa"/>
            <w:shd w:val="clear" w:color="auto" w:fill="DBE3F4" w:themeFill="accent1" w:themeFillTint="32"/>
          </w:tcPr>
          <w:p w14:paraId="47F524D4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7.属于行政执法案卷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2497BA9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104A064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5B98AD7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24EC158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57ABEE0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00B56E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2E47B73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55B210D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0AA4A33B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63BD3822"/>
        </w:tc>
        <w:tc>
          <w:tcPr>
            <w:tcW w:w="2625" w:type="dxa"/>
            <w:shd w:val="clear" w:color="auto" w:fill="DBE3F4" w:themeFill="accent1" w:themeFillTint="32"/>
          </w:tcPr>
          <w:p w14:paraId="269ED909">
            <w:pPr>
              <w:spacing w:before="0" w:line="28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8.属于行政查询事项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1A29E44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078901A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67D5630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39C57A8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2655736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F2D532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7B7C91D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36173C4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20C997C1"/>
        </w:tc>
        <w:tc>
          <w:tcPr>
            <w:tcW w:w="600" w:type="dxa"/>
            <w:vMerge w:val="restart"/>
            <w:shd w:val="clear" w:color="auto" w:fill="DBE3F4" w:themeFill="accent1" w:themeFillTint="32"/>
          </w:tcPr>
          <w:p w14:paraId="341F5CFB">
            <w:pPr>
              <w:spacing w:before="30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（四）无法提供</w:t>
            </w:r>
          </w:p>
        </w:tc>
        <w:tc>
          <w:tcPr>
            <w:tcW w:w="2625" w:type="dxa"/>
            <w:shd w:val="clear" w:color="auto" w:fill="DBE3F4" w:themeFill="accent1" w:themeFillTint="32"/>
          </w:tcPr>
          <w:p w14:paraId="60E30ACB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1.本机关不掌握相关政府信息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36B78656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7399494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4E9CDD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527E805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7B5EBFD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F6D7C8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63DD5E7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8447395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455AF9AB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2D5487AE"/>
        </w:tc>
        <w:tc>
          <w:tcPr>
            <w:tcW w:w="2625" w:type="dxa"/>
            <w:shd w:val="clear" w:color="auto" w:fill="DBE3F4" w:themeFill="accent1" w:themeFillTint="32"/>
          </w:tcPr>
          <w:p w14:paraId="27A10BB2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2.没有现成信息需要另行制作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5AEE0E8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677AC70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6640597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1A1CE63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0E9C56E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699E3E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76D8083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E325040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1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0F157A67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4FA2C768"/>
        </w:tc>
        <w:tc>
          <w:tcPr>
            <w:tcW w:w="2625" w:type="dxa"/>
            <w:shd w:val="clear" w:color="auto" w:fill="DBE3F4" w:themeFill="accent1" w:themeFillTint="32"/>
          </w:tcPr>
          <w:p w14:paraId="45999668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3.补正后申请内容仍不明确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00E7AFE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4BF7A42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719E31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73F9E6E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7CAC2A66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511F2CC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6184B97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7B45C8B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6E0979A6"/>
        </w:tc>
        <w:tc>
          <w:tcPr>
            <w:tcW w:w="600" w:type="dxa"/>
            <w:vMerge w:val="restart"/>
            <w:shd w:val="clear" w:color="auto" w:fill="DBE3F4" w:themeFill="accent1" w:themeFillTint="32"/>
          </w:tcPr>
          <w:p w14:paraId="6D7F9C16">
            <w:pPr>
              <w:spacing w:before="30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（五）不予处理</w:t>
            </w:r>
          </w:p>
        </w:tc>
        <w:tc>
          <w:tcPr>
            <w:tcW w:w="2625" w:type="dxa"/>
            <w:shd w:val="clear" w:color="auto" w:fill="DBE3F4" w:themeFill="accent1" w:themeFillTint="32"/>
          </w:tcPr>
          <w:p w14:paraId="429BF97C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1.信访举报投诉类申请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45F1E7C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4CF86DF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1CEB38B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6909D45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29CBD40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A4F6D7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57FB2C0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23E912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32BAAE90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304E7EFF"/>
        </w:tc>
        <w:tc>
          <w:tcPr>
            <w:tcW w:w="2625" w:type="dxa"/>
            <w:shd w:val="clear" w:color="auto" w:fill="DBE3F4" w:themeFill="accent1" w:themeFillTint="32"/>
          </w:tcPr>
          <w:p w14:paraId="124825DC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2.重复申请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3E16F11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3CBAA726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4BF733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244FA85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59516B4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2EDF24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43303F9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E2EB909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0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32055E4F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69E74F63"/>
        </w:tc>
        <w:tc>
          <w:tcPr>
            <w:tcW w:w="2625" w:type="dxa"/>
            <w:shd w:val="clear" w:color="auto" w:fill="DBE3F4" w:themeFill="accent1" w:themeFillTint="32"/>
          </w:tcPr>
          <w:p w14:paraId="0EB7F8A1">
            <w:pPr>
              <w:spacing w:before="0" w:line="24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3.要求提供公开出版物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68081FF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6278C26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12971BF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59AAB10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421C4C2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487CA24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0BCC65C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FB51A82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0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78136ED8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28881BFF"/>
        </w:tc>
        <w:tc>
          <w:tcPr>
            <w:tcW w:w="2625" w:type="dxa"/>
            <w:shd w:val="clear" w:color="auto" w:fill="DBE3F4" w:themeFill="accent1" w:themeFillTint="32"/>
          </w:tcPr>
          <w:p w14:paraId="3EB2075A">
            <w:pPr>
              <w:spacing w:before="0" w:line="30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4.无正当理由大量反复申请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071CD05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5F11B13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683165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2EE302D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2120260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32CEAD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557CFBF6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20D88E2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10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3C9A8C30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39A04E05"/>
        </w:tc>
        <w:tc>
          <w:tcPr>
            <w:tcW w:w="2625" w:type="dxa"/>
            <w:shd w:val="clear" w:color="auto" w:fill="DBE3F4" w:themeFill="accent1" w:themeFillTint="32"/>
          </w:tcPr>
          <w:p w14:paraId="3858E1AF">
            <w:pPr>
              <w:spacing w:before="0" w:line="30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5.要求行政机关确认或重新出具已获取信息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24A6BF2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4A80C03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C2FE9E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64F9EE5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4A9733E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3FDF371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002742E2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537B66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559C7E0A"/>
        </w:tc>
        <w:tc>
          <w:tcPr>
            <w:tcW w:w="600" w:type="dxa"/>
            <w:vMerge w:val="restart"/>
            <w:shd w:val="clear" w:color="auto" w:fill="DBE3F4" w:themeFill="accent1" w:themeFillTint="32"/>
          </w:tcPr>
          <w:p w14:paraId="185E5F1A">
            <w:pPr>
              <w:spacing w:before="98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（六）其他处理</w:t>
            </w:r>
          </w:p>
        </w:tc>
        <w:tc>
          <w:tcPr>
            <w:tcW w:w="2625" w:type="dxa"/>
            <w:shd w:val="clear" w:color="auto" w:fill="DBE3F4" w:themeFill="accent1" w:themeFillTint="32"/>
          </w:tcPr>
          <w:p w14:paraId="7727345D">
            <w:pPr>
              <w:spacing w:before="0" w:line="30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1.申请人无正当理由逾期不补正、行政机关不再处理其政府信息公开申请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4A1F317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568BB27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159A7C3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3A96ACE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1D34233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458FF9A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1B0F3E5A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E06FD98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97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4F30EBCF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432FA28A"/>
        </w:tc>
        <w:tc>
          <w:tcPr>
            <w:tcW w:w="2625" w:type="dxa"/>
            <w:shd w:val="clear" w:color="auto" w:fill="DBE3F4" w:themeFill="accent1" w:themeFillTint="32"/>
          </w:tcPr>
          <w:p w14:paraId="1D4BC4AC">
            <w:pPr>
              <w:spacing w:before="0" w:line="26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399C6F7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07AF71F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5553AD5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4D32970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292F173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69B9CD0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41A08DE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2F4B864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45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63F2F711"/>
        </w:tc>
        <w:tc>
          <w:tcPr>
            <w:tcW w:w="600" w:type="dxa"/>
            <w:vMerge w:val="continue"/>
            <w:shd w:val="clear" w:color="auto" w:fill="DBE3F4" w:themeFill="accent1" w:themeFillTint="32"/>
          </w:tcPr>
          <w:p w14:paraId="01FC7BF9"/>
        </w:tc>
        <w:tc>
          <w:tcPr>
            <w:tcW w:w="2625" w:type="dxa"/>
            <w:shd w:val="clear" w:color="auto" w:fill="DBE3F4" w:themeFill="accent1" w:themeFillTint="32"/>
          </w:tcPr>
          <w:p w14:paraId="3E67B062">
            <w:pPr>
              <w:spacing w:before="120" w:line="22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3.其他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4EC260A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2CF9B0C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C15B270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4609C56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395F6ED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0A8FCA69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43FAE86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9E59512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90" w:hRule="atLeast"/>
        </w:trPr>
        <w:tc>
          <w:tcPr>
            <w:tcW w:w="598" w:type="dxa"/>
            <w:vMerge w:val="continue"/>
            <w:shd w:val="clear" w:color="auto" w:fill="DBE3F4" w:themeFill="accent1" w:themeFillTint="32"/>
          </w:tcPr>
          <w:p w14:paraId="7521FC82"/>
        </w:tc>
        <w:tc>
          <w:tcPr>
            <w:tcW w:w="3225" w:type="dxa"/>
            <w:gridSpan w:val="2"/>
            <w:shd w:val="clear" w:color="auto" w:fill="DBE3F4" w:themeFill="accent1" w:themeFillTint="32"/>
          </w:tcPr>
          <w:p w14:paraId="3DC15787">
            <w:pPr>
              <w:spacing w:before="0" w:line="240" w:lineRule="atLeast"/>
              <w:ind w:firstLine="16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（七）总计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6A0D7B31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2B199428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21943D13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5F51B525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6AA06ACD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521E133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0B50392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2EC5F1A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</w:trPr>
        <w:tc>
          <w:tcPr>
            <w:tcW w:w="3823" w:type="dxa"/>
            <w:gridSpan w:val="3"/>
            <w:shd w:val="clear" w:color="auto" w:fill="DBE3F4" w:themeFill="accent1" w:themeFillTint="32"/>
          </w:tcPr>
          <w:p w14:paraId="443EA213">
            <w:pPr>
              <w:spacing w:before="0" w:line="24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9"/>
              </w:rPr>
              <w:t>四、结转下年度继续办理</w:t>
            </w:r>
          </w:p>
        </w:tc>
        <w:tc>
          <w:tcPr>
            <w:tcW w:w="643" w:type="dxa"/>
            <w:shd w:val="clear" w:color="auto" w:fill="DBE3F4" w:themeFill="accent1" w:themeFillTint="32"/>
            <w:vAlign w:val="top"/>
          </w:tcPr>
          <w:p w14:paraId="2D429BFE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  <w:vAlign w:val="top"/>
          </w:tcPr>
          <w:p w14:paraId="03BDAE37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76CB4414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DBE3F4" w:themeFill="accent1" w:themeFillTint="32"/>
            <w:vAlign w:val="top"/>
          </w:tcPr>
          <w:p w14:paraId="6E5C0BEF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DBE3F4" w:themeFill="accent1" w:themeFillTint="32"/>
            <w:vAlign w:val="top"/>
          </w:tcPr>
          <w:p w14:paraId="6618EE3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shd w:val="clear" w:color="auto" w:fill="DBE3F4" w:themeFill="accent1" w:themeFillTint="32"/>
            <w:vAlign w:val="top"/>
          </w:tcPr>
          <w:p w14:paraId="5CE8D52B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DBE3F4" w:themeFill="accent1" w:themeFillTint="32"/>
            <w:vAlign w:val="top"/>
          </w:tcPr>
          <w:p w14:paraId="10ABAB7C">
            <w:pPr>
              <w:jc w:val="center"/>
              <w:rPr>
                <w:rFonts w:hint="eastAsia" w:eastAsia="宋体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76DB71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 w:right="0" w:rightChars="0"/>
        <w:jc w:val="left"/>
        <w:textAlignment w:val="auto"/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</w:pPr>
    </w:p>
    <w:p w14:paraId="27A36A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="2093" w:tblpY="392"/>
        <w:tblOverlap w:val="never"/>
        <w:tblW w:w="7931" w:type="dxa"/>
        <w:tblInd w:w="0" w:type="dxa"/>
        <w:tblBorders>
          <w:top w:val="single" w:color="auto" w:sz="0" w:space="0"/>
          <w:left w:val="single" w:color="auto" w:sz="0" w:space="0"/>
          <w:bottom w:val="single" w:color="auto" w:sz="0" w:space="0"/>
          <w:right w:val="single" w:color="auto" w:sz="0" w:space="0"/>
          <w:insideH w:val="single" w:color="auto" w:sz="0" w:space="0"/>
          <w:insideV w:val="single" w:color="auto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06"/>
        <w:gridCol w:w="510"/>
        <w:gridCol w:w="525"/>
        <w:gridCol w:w="585"/>
        <w:gridCol w:w="480"/>
        <w:gridCol w:w="495"/>
        <w:gridCol w:w="480"/>
        <w:gridCol w:w="480"/>
        <w:gridCol w:w="540"/>
        <w:gridCol w:w="540"/>
        <w:gridCol w:w="540"/>
        <w:gridCol w:w="570"/>
        <w:gridCol w:w="409"/>
        <w:gridCol w:w="191"/>
        <w:gridCol w:w="525"/>
        <w:gridCol w:w="555"/>
      </w:tblGrid>
      <w:tr w14:paraId="1B16090E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0" w:hRule="atLeast"/>
        </w:trPr>
        <w:tc>
          <w:tcPr>
            <w:tcW w:w="2606" w:type="dxa"/>
            <w:gridSpan w:val="5"/>
            <w:shd w:val="clear" w:color="auto" w:fill="DBE3F4" w:themeFill="accent1" w:themeFillTint="32"/>
          </w:tcPr>
          <w:p w14:paraId="4EC4B78D">
            <w:pPr>
              <w:spacing w:before="0" w:line="260" w:lineRule="atLeast"/>
              <w:ind w:firstLine="124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行政复议</w:t>
            </w:r>
          </w:p>
        </w:tc>
        <w:tc>
          <w:tcPr>
            <w:tcW w:w="5325" w:type="dxa"/>
            <w:gridSpan w:val="11"/>
            <w:shd w:val="clear" w:color="auto" w:fill="DBE3F4" w:themeFill="accent1" w:themeFillTint="32"/>
          </w:tcPr>
          <w:p w14:paraId="3723D17B">
            <w:pPr>
              <w:spacing w:before="0" w:line="220" w:lineRule="atLeast"/>
              <w:ind w:firstLine="284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行政诉讼</w:t>
            </w:r>
          </w:p>
        </w:tc>
      </w:tr>
      <w:tr w14:paraId="5E189465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0" w:hRule="atLeast"/>
        </w:trPr>
        <w:tc>
          <w:tcPr>
            <w:tcW w:w="506" w:type="dxa"/>
            <w:vMerge w:val="restart"/>
            <w:shd w:val="clear" w:color="auto" w:fill="DBE3F4" w:themeFill="accent1" w:themeFillTint="32"/>
          </w:tcPr>
          <w:p w14:paraId="10945A91">
            <w:pPr>
              <w:spacing w:before="26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  <w:p w14:paraId="2D2A2368">
            <w:pPr>
              <w:spacing w:before="0" w:line="28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维持</w:t>
            </w:r>
          </w:p>
        </w:tc>
        <w:tc>
          <w:tcPr>
            <w:tcW w:w="510" w:type="dxa"/>
            <w:vMerge w:val="restart"/>
            <w:shd w:val="clear" w:color="auto" w:fill="DBE3F4" w:themeFill="accent1" w:themeFillTint="32"/>
          </w:tcPr>
          <w:p w14:paraId="12271331">
            <w:pPr>
              <w:spacing w:before="28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  <w:p w14:paraId="42764258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纠正</w:t>
            </w:r>
          </w:p>
        </w:tc>
        <w:tc>
          <w:tcPr>
            <w:tcW w:w="525" w:type="dxa"/>
            <w:vMerge w:val="restart"/>
            <w:shd w:val="clear" w:color="auto" w:fill="DBE3F4" w:themeFill="accent1" w:themeFillTint="32"/>
          </w:tcPr>
          <w:p w14:paraId="6771CE1C">
            <w:pPr>
              <w:spacing w:before="300" w:line="22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其他</w:t>
            </w:r>
          </w:p>
          <w:p w14:paraId="44B3C4F6">
            <w:pPr>
              <w:spacing w:before="0" w:line="22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</w:tc>
        <w:tc>
          <w:tcPr>
            <w:tcW w:w="585" w:type="dxa"/>
            <w:vMerge w:val="restart"/>
            <w:shd w:val="clear" w:color="auto" w:fill="DBE3F4" w:themeFill="accent1" w:themeFillTint="32"/>
          </w:tcPr>
          <w:p w14:paraId="71537F50">
            <w:pPr>
              <w:spacing w:before="300" w:line="22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尚未</w:t>
            </w:r>
          </w:p>
          <w:p w14:paraId="3C0186C0">
            <w:pPr>
              <w:spacing w:before="0" w:line="24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审结</w:t>
            </w:r>
          </w:p>
        </w:tc>
        <w:tc>
          <w:tcPr>
            <w:tcW w:w="480" w:type="dxa"/>
            <w:vMerge w:val="restart"/>
            <w:shd w:val="clear" w:color="auto" w:fill="DBE3F4" w:themeFill="accent1" w:themeFillTint="32"/>
          </w:tcPr>
          <w:p w14:paraId="6D2657C4">
            <w:pPr>
              <w:spacing w:before="44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总计</w:t>
            </w:r>
          </w:p>
        </w:tc>
        <w:tc>
          <w:tcPr>
            <w:tcW w:w="4054" w:type="dxa"/>
            <w:gridSpan w:val="8"/>
            <w:shd w:val="clear" w:color="auto" w:fill="DBE3F4" w:themeFill="accent1" w:themeFillTint="32"/>
          </w:tcPr>
          <w:p w14:paraId="65E75F53">
            <w:pPr>
              <w:spacing w:before="0" w:line="260" w:lineRule="atLeast"/>
              <w:ind w:firstLine="7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未经复议直接起诉</w:t>
            </w:r>
          </w:p>
        </w:tc>
        <w:tc>
          <w:tcPr>
            <w:tcW w:w="1271" w:type="dxa"/>
            <w:gridSpan w:val="3"/>
            <w:shd w:val="clear" w:color="auto" w:fill="DBE3F4" w:themeFill="accent1" w:themeFillTint="32"/>
          </w:tcPr>
          <w:p w14:paraId="00267644">
            <w:pPr>
              <w:spacing w:before="0" w:line="220" w:lineRule="atLeast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复议后起诉</w:t>
            </w:r>
          </w:p>
        </w:tc>
      </w:tr>
      <w:tr w14:paraId="3A9DACE6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00" w:hRule="atLeast"/>
        </w:trPr>
        <w:tc>
          <w:tcPr>
            <w:tcW w:w="506" w:type="dxa"/>
            <w:vMerge w:val="continue"/>
            <w:shd w:val="clear" w:color="auto" w:fill="DBE3F4" w:themeFill="accent1" w:themeFillTint="32"/>
          </w:tcPr>
          <w:p w14:paraId="1A69E7C9"/>
        </w:tc>
        <w:tc>
          <w:tcPr>
            <w:tcW w:w="510" w:type="dxa"/>
            <w:vMerge w:val="continue"/>
            <w:shd w:val="clear" w:color="auto" w:fill="DBE3F4" w:themeFill="accent1" w:themeFillTint="32"/>
          </w:tcPr>
          <w:p w14:paraId="7A6A020F"/>
        </w:tc>
        <w:tc>
          <w:tcPr>
            <w:tcW w:w="525" w:type="dxa"/>
            <w:vMerge w:val="continue"/>
            <w:shd w:val="clear" w:color="auto" w:fill="DBE3F4" w:themeFill="accent1" w:themeFillTint="32"/>
          </w:tcPr>
          <w:p w14:paraId="4DE9C64C"/>
        </w:tc>
        <w:tc>
          <w:tcPr>
            <w:tcW w:w="585" w:type="dxa"/>
            <w:vMerge w:val="continue"/>
            <w:shd w:val="clear" w:color="auto" w:fill="DBE3F4" w:themeFill="accent1" w:themeFillTint="32"/>
          </w:tcPr>
          <w:p w14:paraId="04A0F166"/>
        </w:tc>
        <w:tc>
          <w:tcPr>
            <w:tcW w:w="480" w:type="dxa"/>
            <w:vMerge w:val="continue"/>
            <w:shd w:val="clear" w:color="auto" w:fill="DBE3F4" w:themeFill="accent1" w:themeFillTint="32"/>
          </w:tcPr>
          <w:p w14:paraId="3403FA80"/>
        </w:tc>
        <w:tc>
          <w:tcPr>
            <w:tcW w:w="495" w:type="dxa"/>
            <w:shd w:val="clear" w:color="auto" w:fill="DBE3F4" w:themeFill="accent1" w:themeFillTint="32"/>
          </w:tcPr>
          <w:p w14:paraId="5944197F">
            <w:pPr>
              <w:spacing w:before="0" w:line="28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  <w:p w14:paraId="376DF583">
            <w:pPr>
              <w:spacing w:before="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维持</w:t>
            </w:r>
          </w:p>
        </w:tc>
        <w:tc>
          <w:tcPr>
            <w:tcW w:w="480" w:type="dxa"/>
            <w:shd w:val="clear" w:color="auto" w:fill="DBE3F4" w:themeFill="accent1" w:themeFillTint="32"/>
          </w:tcPr>
          <w:p w14:paraId="6DDEDE09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  <w:p w14:paraId="377558D4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纠正</w:t>
            </w:r>
          </w:p>
        </w:tc>
        <w:tc>
          <w:tcPr>
            <w:tcW w:w="480" w:type="dxa"/>
            <w:shd w:val="clear" w:color="auto" w:fill="DBE3F4" w:themeFill="accent1" w:themeFillTint="32"/>
          </w:tcPr>
          <w:p w14:paraId="03C55B7C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其他</w:t>
            </w:r>
          </w:p>
          <w:p w14:paraId="020C4F47">
            <w:pPr>
              <w:spacing w:before="0" w:line="28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</w:tc>
        <w:tc>
          <w:tcPr>
            <w:tcW w:w="540" w:type="dxa"/>
            <w:shd w:val="clear" w:color="auto" w:fill="DBE3F4" w:themeFill="accent1" w:themeFillTint="32"/>
          </w:tcPr>
          <w:p w14:paraId="75C75B21">
            <w:pPr>
              <w:spacing w:before="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尚未</w:t>
            </w:r>
          </w:p>
          <w:p w14:paraId="4E4FDD53">
            <w:pPr>
              <w:spacing w:before="0" w:line="28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审结</w:t>
            </w:r>
          </w:p>
        </w:tc>
        <w:tc>
          <w:tcPr>
            <w:tcW w:w="540" w:type="dxa"/>
            <w:shd w:val="clear" w:color="auto" w:fill="DBE3F4" w:themeFill="accent1" w:themeFillTint="32"/>
          </w:tcPr>
          <w:p w14:paraId="47F9D7F7">
            <w:pPr>
              <w:spacing w:before="240" w:line="24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总计</w:t>
            </w:r>
          </w:p>
        </w:tc>
        <w:tc>
          <w:tcPr>
            <w:tcW w:w="540" w:type="dxa"/>
            <w:shd w:val="clear" w:color="auto" w:fill="DBE3F4" w:themeFill="accent1" w:themeFillTint="32"/>
          </w:tcPr>
          <w:p w14:paraId="6FD84B2D">
            <w:pPr>
              <w:spacing w:before="0" w:line="26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  <w:p w14:paraId="60032B9E">
            <w:pPr>
              <w:spacing w:before="0" w:line="28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维持</w:t>
            </w:r>
          </w:p>
        </w:tc>
        <w:tc>
          <w:tcPr>
            <w:tcW w:w="570" w:type="dxa"/>
            <w:shd w:val="clear" w:color="auto" w:fill="DBE3F4" w:themeFill="accent1" w:themeFillTint="32"/>
          </w:tcPr>
          <w:p w14:paraId="46D40E78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  <w:p w14:paraId="0EA4322C">
            <w:pPr>
              <w:spacing w:before="0" w:line="280" w:lineRule="atLeast"/>
              <w:ind w:firstLine="10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纠正</w:t>
            </w:r>
          </w:p>
        </w:tc>
        <w:tc>
          <w:tcPr>
            <w:tcW w:w="600" w:type="dxa"/>
            <w:gridSpan w:val="2"/>
            <w:shd w:val="clear" w:color="auto" w:fill="DBE3F4" w:themeFill="accent1" w:themeFillTint="32"/>
          </w:tcPr>
          <w:p w14:paraId="127A090D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其他</w:t>
            </w:r>
          </w:p>
          <w:p w14:paraId="7C3F5891">
            <w:pPr>
              <w:spacing w:before="0" w:line="260" w:lineRule="atLeast"/>
              <w:ind w:firstLine="8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结果</w:t>
            </w:r>
          </w:p>
        </w:tc>
        <w:tc>
          <w:tcPr>
            <w:tcW w:w="525" w:type="dxa"/>
            <w:shd w:val="clear" w:color="auto" w:fill="DBE3F4" w:themeFill="accent1" w:themeFillTint="32"/>
          </w:tcPr>
          <w:p w14:paraId="4B449B42">
            <w:pPr>
              <w:spacing w:before="0" w:line="26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尚未</w:t>
            </w:r>
          </w:p>
          <w:p w14:paraId="788EFD2C">
            <w:pPr>
              <w:spacing w:before="0" w:line="28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审结</w:t>
            </w:r>
          </w:p>
        </w:tc>
        <w:tc>
          <w:tcPr>
            <w:tcW w:w="555" w:type="dxa"/>
            <w:shd w:val="clear" w:color="auto" w:fill="DBE3F4" w:themeFill="accent1" w:themeFillTint="32"/>
          </w:tcPr>
          <w:p w14:paraId="790A4C09">
            <w:pPr>
              <w:spacing w:before="240" w:line="240" w:lineRule="atLeast"/>
              <w:ind w:firstLine="120"/>
              <w:jc w:val="left"/>
            </w:pPr>
            <w:r>
              <w:rPr>
                <w:rFonts w:ascii="等线" w:hAnsi="等线" w:eastAsia="等线" w:cs="等线"/>
                <w:color w:val="000000"/>
                <w:sz w:val="18"/>
              </w:rPr>
              <w:t>总计</w:t>
            </w:r>
          </w:p>
        </w:tc>
      </w:tr>
      <w:tr w14:paraId="0A7CB890">
        <w:tblPrEx>
          <w:tblBorders>
            <w:top w:val="single" w:color="auto" w:sz="0" w:space="0"/>
            <w:left w:val="single" w:color="auto" w:sz="0" w:space="0"/>
            <w:bottom w:val="single" w:color="auto" w:sz="0" w:space="0"/>
            <w:right w:val="single" w:color="auto" w:sz="0" w:space="0"/>
            <w:insideH w:val="single" w:color="auto" w:sz="0" w:space="0"/>
            <w:insideV w:val="single" w:color="auto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00" w:hRule="atLeast"/>
        </w:trPr>
        <w:tc>
          <w:tcPr>
            <w:tcW w:w="506" w:type="dxa"/>
            <w:shd w:val="clear" w:color="auto" w:fill="DBE3F4" w:themeFill="accent1" w:themeFillTint="32"/>
          </w:tcPr>
          <w:p w14:paraId="7BB15016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10" w:type="dxa"/>
            <w:shd w:val="clear" w:color="auto" w:fill="DBE3F4" w:themeFill="accent1" w:themeFillTint="32"/>
          </w:tcPr>
          <w:p w14:paraId="4F80E5CE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DBE3F4" w:themeFill="accent1" w:themeFillTint="32"/>
          </w:tcPr>
          <w:p w14:paraId="113F9E85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5" w:type="dxa"/>
            <w:shd w:val="clear" w:color="auto" w:fill="DBE3F4" w:themeFill="accent1" w:themeFillTint="32"/>
          </w:tcPr>
          <w:p w14:paraId="673A39F5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DBE3F4" w:themeFill="accent1" w:themeFillTint="32"/>
          </w:tcPr>
          <w:p w14:paraId="1FD6FFAC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495" w:type="dxa"/>
            <w:shd w:val="clear" w:color="auto" w:fill="DBE3F4" w:themeFill="accent1" w:themeFillTint="32"/>
          </w:tcPr>
          <w:p w14:paraId="1D3E434A">
            <w:pPr>
              <w:spacing w:before="0" w:line="260" w:lineRule="atLeast"/>
              <w:ind w:firstLine="10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DBE3F4" w:themeFill="accent1" w:themeFillTint="32"/>
          </w:tcPr>
          <w:p w14:paraId="3CC3C8B7">
            <w:pPr>
              <w:spacing w:before="0" w:line="260" w:lineRule="atLeast"/>
              <w:ind w:firstLine="8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DBE3F4" w:themeFill="accent1" w:themeFillTint="32"/>
          </w:tcPr>
          <w:p w14:paraId="38676EA5">
            <w:pPr>
              <w:spacing w:before="0" w:line="280" w:lineRule="atLeast"/>
              <w:ind w:firstLine="8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DBE3F4" w:themeFill="accent1" w:themeFillTint="32"/>
            <w:vAlign w:val="top"/>
          </w:tcPr>
          <w:p w14:paraId="6F166CCE">
            <w:pPr>
              <w:spacing w:before="0" w:line="260" w:lineRule="atLeast"/>
              <w:ind w:firstLine="80" w:firstLineChars="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DBE3F4" w:themeFill="accent1" w:themeFillTint="32"/>
            <w:vAlign w:val="top"/>
          </w:tcPr>
          <w:p w14:paraId="0D782B3D">
            <w:pPr>
              <w:spacing w:before="0" w:line="280" w:lineRule="atLeast"/>
              <w:ind w:firstLine="80" w:firstLineChars="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DBE3F4" w:themeFill="accent1" w:themeFillTint="32"/>
          </w:tcPr>
          <w:p w14:paraId="219E7929">
            <w:pPr>
              <w:spacing w:before="0" w:line="280" w:lineRule="atLeast"/>
              <w:ind w:firstLine="8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570" w:type="dxa"/>
            <w:shd w:val="clear" w:color="auto" w:fill="DBE3F4" w:themeFill="accent1" w:themeFillTint="32"/>
          </w:tcPr>
          <w:p w14:paraId="1C21B98C">
            <w:pPr>
              <w:spacing w:before="0" w:line="280" w:lineRule="atLeast"/>
              <w:ind w:firstLine="10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600" w:type="dxa"/>
            <w:gridSpan w:val="2"/>
            <w:shd w:val="clear" w:color="auto" w:fill="DBE3F4" w:themeFill="accent1" w:themeFillTint="32"/>
          </w:tcPr>
          <w:p w14:paraId="0AC208F5">
            <w:pPr>
              <w:spacing w:before="0" w:line="260" w:lineRule="atLeast"/>
              <w:ind w:firstLine="8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DBE3F4" w:themeFill="accent1" w:themeFillTint="32"/>
            <w:vAlign w:val="top"/>
          </w:tcPr>
          <w:p w14:paraId="1BF0241F">
            <w:pPr>
              <w:spacing w:before="0" w:line="260" w:lineRule="atLeast"/>
              <w:ind w:firstLine="80" w:firstLineChars="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  <w:tc>
          <w:tcPr>
            <w:tcW w:w="555" w:type="dxa"/>
            <w:shd w:val="clear" w:color="auto" w:fill="DBE3F4" w:themeFill="accent1" w:themeFillTint="32"/>
            <w:vAlign w:val="top"/>
          </w:tcPr>
          <w:p w14:paraId="4A786021">
            <w:pPr>
              <w:spacing w:before="0" w:line="280" w:lineRule="atLeast"/>
              <w:ind w:firstLine="80" w:firstLineChars="0"/>
              <w:jc w:val="center"/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color w:val="000000"/>
                <w:sz w:val="18"/>
                <w:lang w:val="en-US" w:eastAsia="zh-CN"/>
              </w:rPr>
              <w:t>0</w:t>
            </w:r>
          </w:p>
        </w:tc>
      </w:tr>
    </w:tbl>
    <w:p w14:paraId="4601484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2025年，我镇未发生因政府信息公开引发的行政复议和行政诉讼案件。</w:t>
      </w:r>
    </w:p>
    <w:p w14:paraId="41374C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  <w:t>五、存在的主要问题及改进情况</w:t>
      </w:r>
    </w:p>
    <w:p w14:paraId="4A41FBC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 w:val="0"/>
          <w:color w:val="111111"/>
          <w:kern w:val="0"/>
          <w:sz w:val="32"/>
          <w:szCs w:val="32"/>
          <w:shd w:val="clear" w:color="auto" w:fill="FFFCFC"/>
          <w:lang w:val="en-US" w:eastAsia="zh-CN" w:bidi="ar"/>
        </w:rPr>
      </w:pPr>
      <w:r>
        <w:rPr>
          <w:rFonts w:hint="eastAsia" w:ascii="方正楷体简体" w:hAnsi="方正楷体简体" w:eastAsia="方正楷体简体" w:cs="方正楷体简体"/>
          <w:b/>
          <w:bCs w:val="0"/>
          <w:color w:val="111111"/>
          <w:kern w:val="0"/>
          <w:sz w:val="32"/>
          <w:szCs w:val="32"/>
          <w:shd w:val="clear" w:color="auto" w:fill="FFFCFC"/>
          <w:lang w:val="en-US" w:eastAsia="zh-CN" w:bidi="ar"/>
        </w:rPr>
        <w:t>（一）存在的主要问题</w:t>
      </w:r>
    </w:p>
    <w:p w14:paraId="075E31E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1. 公开内容深度不足。部分公开信息较为简略，对政策文件的解读不够深入透彻，缺乏案例分析和通俗化阐释，群众理解难度较大；对文旅康养产业发展、民生实事推进等重点工作的过程性信息公开不够全面，难以满足群众全程监督需求。</w:t>
      </w:r>
    </w:p>
    <w:p w14:paraId="23F9927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2. 公开渠道协同性不强。政府网站、微信公众号等公开平台存在信息发布不同步、内容不一致的情况；线下公开渠道建设较为薄弱，政务服务窗口信息查阅点的服务效能未充分发挥，部分群众获取信息的便捷性有待提升。</w:t>
      </w:r>
    </w:p>
    <w:p w14:paraId="2E199AD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jc w:val="both"/>
        <w:textAlignment w:val="auto"/>
        <w:rPr>
          <w:rFonts w:hint="eastAsia" w:ascii="方正楷体简体" w:hAnsi="方正楷体简体" w:eastAsia="方正楷体简体" w:cs="方正楷体简体"/>
          <w:b/>
          <w:bCs w:val="0"/>
          <w:color w:val="111111"/>
          <w:kern w:val="0"/>
          <w:sz w:val="32"/>
          <w:szCs w:val="32"/>
          <w:shd w:val="clear" w:color="auto" w:fill="FFFCFC"/>
          <w:lang w:val="en-US" w:eastAsia="zh-CN" w:bidi="ar"/>
        </w:rPr>
      </w:pPr>
      <w:r>
        <w:rPr>
          <w:rFonts w:hint="eastAsia" w:ascii="方正楷体简体" w:hAnsi="方正楷体简体" w:eastAsia="方正楷体简体" w:cs="方正楷体简体"/>
          <w:b/>
          <w:bCs w:val="0"/>
          <w:color w:val="111111"/>
          <w:kern w:val="0"/>
          <w:sz w:val="32"/>
          <w:szCs w:val="32"/>
          <w:shd w:val="clear" w:color="auto" w:fill="FFFCFC"/>
          <w:lang w:val="en-US" w:eastAsia="zh-CN" w:bidi="ar"/>
        </w:rPr>
        <w:t>（二）改进措施</w:t>
      </w:r>
    </w:p>
    <w:p w14:paraId="6761470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1. 深化公开内容，提升信息质量。聚焦群众关切和镇域重点工作，进一步细化公开目录，重点加强政策解读、重点项目推进、民生实事落实等领域的信息公开。采用图文并茂、案例解读等通俗化方式，提升政策解读的易懂性；建立重点工作信息公开台账，全程跟踪公开工作进展，确保信息公开全面、细致、及时。</w:t>
      </w:r>
    </w:p>
    <w:p w14:paraId="0993C6D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2. 优化平台建设，强化协同联动。加强政府网站、微信公众号等线上平台的统筹管理，建立信息发布同步机制，确保各渠道信息内容一致、更新及时；升级线下政务服务窗口信息查阅点，完善查阅设备，配备专职工作人员，提供信息检索、咨询引导等精准服务，构建线上线下联动互补的公开格局。</w:t>
      </w:r>
    </w:p>
    <w:p w14:paraId="3EB716B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3. 加强队伍建设，提升业务水平。充实政府信息公开工作力量，明确专职工作人员负责日常工作；制定年度培训计划，定期组织工作人员学习《中华人民共和国政府信息公开条例》及相关政策文件，开展业务交流研讨，提升工作人员对公开范围界定、申请办理、风险防控等方面的专业能力，推动信息公开工作规范化、专业化发展。</w:t>
      </w:r>
    </w:p>
    <w:p w14:paraId="449580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kern w:val="0"/>
          <w:sz w:val="32"/>
          <w:szCs w:val="32"/>
          <w:lang w:val="en-US" w:eastAsia="zh-CN"/>
        </w:rPr>
        <w:t>六、其他需要报告的事项</w:t>
      </w:r>
    </w:p>
    <w:p w14:paraId="24226F7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2025年，我镇未向政府信息公开申请人收取任何信息处理费用。</w:t>
      </w:r>
    </w:p>
    <w:p w14:paraId="4391D2C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</w:p>
    <w:p w14:paraId="0F59691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</w:p>
    <w:p w14:paraId="0AB6300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</w:p>
    <w:p w14:paraId="69EF47E7">
      <w:pPr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1F9104"/>
    <w:multiLevelType w:val="singleLevel"/>
    <w:tmpl w:val="1F1F910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A7123"/>
    <w:rsid w:val="09B83694"/>
    <w:rsid w:val="6BAA1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2719</Words>
  <Characters>2757</Characters>
  <Lines>0</Lines>
  <Paragraphs>0</Paragraphs>
  <TotalTime>281</TotalTime>
  <ScaleCrop>false</ScaleCrop>
  <LinksUpToDate>false</LinksUpToDate>
  <CharactersWithSpaces>2762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2026-01-09T02:20:00Z</dcterms:created>
  <dc:creator>LENOVO</dc:creator>
  <cp:lastModifiedBy>不知道叫啥好</cp:lastModifiedBy>
  <dcterms:modified xsi:type="dcterms:W3CDTF">2026-01-15T08:18:40Z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eyJoZGlkIjoiMTI3ZDQ2MThkNTExYmJlYTg2YTcyOTUxODY0NGNiZjgiLCJ1c2VySWQiOiI3MzkzNTc3MDAifQ==</vt:lpwstr>
  </property>
  <property fmtid="{D5CDD505-2E9C-101B-9397-08002B2CF9AE}" pid="4" name="ICV">
    <vt:lpwstr>4A69A1B6897343488225794CF8E2A5AD_12</vt:lpwstr>
  </property>
</Properties>
</file>