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 w:val="0"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shd w:val="clear" w:color="auto" w:fill="FFFFFF"/>
        </w:rPr>
      </w:pPr>
    </w:p>
    <w:p>
      <w:pPr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 w:val="0"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shd w:val="clear" w:color="auto" w:fill="FFFFFF"/>
        </w:rPr>
        <w:t>井陉县教育局</w:t>
      </w:r>
    </w:p>
    <w:p>
      <w:pPr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 w:val="0"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default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shd w:val="clear" w:color="auto" w:fill="FFFFFF"/>
        </w:rPr>
        <w:t>20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shd w:val="clear" w:color="auto" w:fill="FFFFFF"/>
          <w:lang w:val="en-US" w:eastAsia="zh-CN"/>
        </w:rPr>
        <w:t>25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shd w:val="clear" w:color="auto" w:fill="FFFFFF"/>
        </w:rPr>
        <w:t>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shd w:val="clear" w:color="auto" w:fill="FFFFFF"/>
          <w:lang w:eastAsia="zh-CN"/>
        </w:rPr>
        <w:t>度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shd w:val="clear" w:color="auto" w:fill="FFFFFF"/>
        </w:rPr>
        <w:t>政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shd w:val="clear" w:color="auto" w:fill="FFFFFF"/>
          <w:lang w:eastAsia="zh-CN"/>
        </w:rPr>
        <w:t>府信息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shd w:val="clear" w:color="auto" w:fill="FFFFFF"/>
        </w:rPr>
        <w:t>公开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shd w:val="clear" w:color="auto" w:fill="FFFFFF"/>
          <w:lang w:eastAsia="zh-CN"/>
        </w:rPr>
        <w:t>工作年度报告</w:t>
      </w:r>
    </w:p>
    <w:p>
      <w:pPr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eastAsia="zh-CN"/>
        </w:rPr>
      </w:pPr>
    </w:p>
    <w:p>
      <w:pPr>
        <w:keepNext w:val="0"/>
        <w:keepLines w:val="0"/>
        <w:pageBreakBefore w:val="0"/>
        <w:numPr>
          <w:ilvl w:val="0"/>
          <w:numId w:val="1"/>
        </w:numPr>
        <w:shd w:val="clear" w:color="auto" w:fill="FFFFFF"/>
        <w:kinsoku/>
        <w:wordWrap/>
        <w:overflowPunct/>
        <w:topLinePunct w:val="0"/>
        <w:autoSpaceDE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方正黑体简体" w:hAnsi="方正黑体简体" w:eastAsia="方正黑体简体" w:cs="方正黑体简体"/>
          <w:bCs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Cs/>
          <w:color w:val="000000"/>
          <w:sz w:val="32"/>
          <w:szCs w:val="32"/>
          <w:shd w:val="clear" w:color="auto" w:fill="FFFFFF"/>
          <w:lang w:val="en-US" w:eastAsia="zh-CN"/>
        </w:rPr>
        <w:t>总体情况</w:t>
      </w:r>
    </w:p>
    <w:p>
      <w:pPr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2025</w:t>
      </w:r>
      <w:r>
        <w:rPr>
          <w:rFonts w:hint="eastAsia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eastAsia="zh-CN"/>
        </w:rPr>
        <w:t>年，县</w:t>
      </w:r>
      <w:r>
        <w:rPr>
          <w:rFonts w:hint="eastAsia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教育局认真贯彻落实国家及省市关于政务公开工作的决策部署</w:t>
      </w:r>
      <w:r>
        <w:rPr>
          <w:rFonts w:hint="default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，</w:t>
      </w:r>
      <w:r>
        <w:rPr>
          <w:rFonts w:hint="eastAsia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严格依据《中华人民共和国政府信息公开条例》（以下简称《条例》）和县政务公开工作要求，扎实推进教育领域政府信息公开工作。</w:t>
      </w:r>
    </w:p>
    <w:p>
      <w:pPr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 w:val="0"/>
        <w:bidi w:val="0"/>
        <w:adjustRightInd/>
        <w:snapToGrid/>
        <w:spacing w:line="600" w:lineRule="exact"/>
        <w:ind w:firstLine="643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楷体简体" w:hAnsi="方正楷体简体" w:eastAsia="方正楷体简体" w:cs="方正楷体简体"/>
          <w:b/>
          <w:bCs w:val="0"/>
          <w:color w:val="000000"/>
          <w:sz w:val="32"/>
          <w:szCs w:val="32"/>
          <w:shd w:val="clear" w:color="auto" w:fill="FFFFFF"/>
          <w:lang w:val="en-US" w:eastAsia="zh-CN"/>
        </w:rPr>
        <w:t>一是健全工作机制。</w:t>
      </w:r>
      <w:r>
        <w:rPr>
          <w:rFonts w:hint="default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成立由局党组书记、局长任组长的政府信息公开工作领导小组，明确局办公室为牵头责任</w:t>
      </w:r>
      <w:r>
        <w:rPr>
          <w:rFonts w:hint="eastAsia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股</w:t>
      </w:r>
      <w:r>
        <w:rPr>
          <w:rFonts w:hint="default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室，具体负责政府信息发布、依申请公开受理与咨询等工作。局领导班子定期专题研究部署政务公开工作，推动各</w:t>
      </w:r>
      <w:r>
        <w:rPr>
          <w:rFonts w:hint="eastAsia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股</w:t>
      </w:r>
      <w:r>
        <w:rPr>
          <w:rFonts w:hint="default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室依法公开工作职责、办事依据、程序及要求。</w:t>
      </w:r>
    </w:p>
    <w:p>
      <w:pPr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 w:val="0"/>
        <w:bidi w:val="0"/>
        <w:adjustRightInd/>
        <w:snapToGrid/>
        <w:spacing w:line="600" w:lineRule="exact"/>
        <w:ind w:firstLine="643" w:firstLineChars="200"/>
        <w:textAlignment w:val="auto"/>
        <w:outlineLvl w:val="9"/>
        <w:rPr>
          <w:rFonts w:hint="default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楷体简体" w:hAnsi="方正楷体简体" w:eastAsia="方正楷体简体" w:cs="方正楷体简体"/>
          <w:b/>
          <w:bCs w:val="0"/>
          <w:color w:val="000000"/>
          <w:sz w:val="32"/>
          <w:szCs w:val="32"/>
          <w:shd w:val="clear" w:color="auto" w:fill="FFFFFF"/>
          <w:lang w:val="en-US" w:eastAsia="zh-CN"/>
        </w:rPr>
        <w:t>二是</w:t>
      </w:r>
      <w:r>
        <w:rPr>
          <w:rFonts w:hint="default" w:ascii="方正楷体简体" w:hAnsi="方正楷体简体" w:eastAsia="方正楷体简体" w:cs="方正楷体简体"/>
          <w:b/>
          <w:bCs w:val="0"/>
          <w:color w:val="000000"/>
          <w:sz w:val="32"/>
          <w:szCs w:val="32"/>
          <w:shd w:val="clear" w:color="auto" w:fill="FFFFFF"/>
          <w:lang w:val="en-US" w:eastAsia="zh-CN"/>
        </w:rPr>
        <w:t>规范公开内容。</w:t>
      </w:r>
      <w:r>
        <w:rPr>
          <w:rFonts w:hint="default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严格对照《条例》及县政务公开要求，</w:t>
      </w:r>
      <w:r>
        <w:rPr>
          <w:rFonts w:hint="eastAsia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明确</w:t>
      </w:r>
      <w:r>
        <w:rPr>
          <w:rFonts w:hint="default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政策文件、教育概况、民办学校信息、招生管理、学生管理、教师管理、公办学校管理、重要政策执行情况、教育督导、校园安全、其他信息和财务信息等12个方面42项具体公开事项，有效提升了基层教育工作透明度和政务公开标准化、规范化水平。</w:t>
      </w:r>
    </w:p>
    <w:p>
      <w:pPr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 w:val="0"/>
        <w:bidi w:val="0"/>
        <w:adjustRightInd/>
        <w:snapToGrid/>
        <w:spacing w:line="600" w:lineRule="exact"/>
        <w:ind w:firstLine="643" w:firstLineChars="200"/>
        <w:textAlignment w:val="auto"/>
        <w:outlineLvl w:val="9"/>
        <w:rPr>
          <w:rFonts w:hint="default" w:ascii="方正仿宋简体" w:hAnsi="方正仿宋简体" w:eastAsia="方正仿宋简体" w:cs="方正仿宋简体"/>
          <w:bCs/>
          <w:color w:val="FF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楷体简体" w:hAnsi="方正楷体简体" w:eastAsia="方正楷体简体" w:cs="方正楷体简体"/>
          <w:b/>
          <w:bCs w:val="0"/>
          <w:color w:val="000000"/>
          <w:sz w:val="32"/>
          <w:szCs w:val="32"/>
          <w:shd w:val="clear" w:color="auto" w:fill="FFFFFF"/>
          <w:lang w:val="en-US" w:eastAsia="zh-CN"/>
        </w:rPr>
        <w:t>三是</w:t>
      </w:r>
      <w:r>
        <w:rPr>
          <w:rFonts w:hint="default" w:ascii="方正楷体简体" w:hAnsi="方正楷体简体" w:eastAsia="方正楷体简体" w:cs="方正楷体简体"/>
          <w:b/>
          <w:bCs w:val="0"/>
          <w:color w:val="000000"/>
          <w:sz w:val="32"/>
          <w:szCs w:val="32"/>
          <w:shd w:val="clear" w:color="auto" w:fill="FFFFFF"/>
          <w:lang w:val="en-US" w:eastAsia="zh-CN"/>
        </w:rPr>
        <w:t>拓展公开渠道。</w:t>
      </w:r>
      <w:r>
        <w:rPr>
          <w:rFonts w:hint="default" w:ascii="方正仿宋简体" w:hAnsi="方正仿宋简体" w:eastAsia="方正仿宋简体" w:cs="方正仿宋简体"/>
          <w:bCs/>
          <w:color w:val="auto"/>
          <w:sz w:val="32"/>
          <w:szCs w:val="32"/>
          <w:shd w:val="clear" w:color="auto" w:fill="FFFFFF"/>
          <w:lang w:val="en-US" w:eastAsia="zh-CN"/>
        </w:rPr>
        <w:t> 20</w:t>
      </w:r>
      <w:r>
        <w:rPr>
          <w:rFonts w:hint="eastAsia" w:ascii="方正仿宋简体" w:hAnsi="方正仿宋简体" w:eastAsia="方正仿宋简体" w:cs="方正仿宋简体"/>
          <w:bCs/>
          <w:color w:val="auto"/>
          <w:sz w:val="32"/>
          <w:szCs w:val="32"/>
          <w:shd w:val="clear" w:color="auto" w:fill="FFFFFF"/>
          <w:lang w:val="en-US" w:eastAsia="zh-CN"/>
        </w:rPr>
        <w:t>25</w:t>
      </w:r>
      <w:r>
        <w:rPr>
          <w:rFonts w:hint="default" w:ascii="方正仿宋简体" w:hAnsi="方正仿宋简体" w:eastAsia="方正仿宋简体" w:cs="方正仿宋简体"/>
          <w:bCs/>
          <w:color w:val="auto"/>
          <w:sz w:val="32"/>
          <w:szCs w:val="32"/>
          <w:shd w:val="clear" w:color="auto" w:fill="FFFFFF"/>
          <w:lang w:val="en-US" w:eastAsia="zh-CN"/>
        </w:rPr>
        <w:t>年，我局在井陉县政府网</w:t>
      </w:r>
      <w:r>
        <w:rPr>
          <w:rFonts w:hint="eastAsia" w:ascii="方正仿宋简体" w:hAnsi="方正仿宋简体" w:eastAsia="方正仿宋简体" w:cs="方正仿宋简体"/>
          <w:bCs/>
          <w:color w:val="auto"/>
          <w:sz w:val="32"/>
          <w:szCs w:val="32"/>
          <w:shd w:val="clear" w:color="auto" w:fill="FFFFFF"/>
          <w:lang w:val="en-US" w:eastAsia="zh-CN"/>
        </w:rPr>
        <w:t>站</w:t>
      </w:r>
      <w:r>
        <w:rPr>
          <w:rFonts w:hint="default" w:ascii="方正仿宋简体" w:hAnsi="方正仿宋简体" w:eastAsia="方正仿宋简体" w:cs="方正仿宋简体"/>
          <w:bCs/>
          <w:color w:val="auto"/>
          <w:sz w:val="32"/>
          <w:szCs w:val="32"/>
          <w:shd w:val="clear" w:color="auto" w:fill="FFFFFF"/>
          <w:lang w:val="en-US" w:eastAsia="zh-CN"/>
        </w:rPr>
        <w:t>主动公开了</w:t>
      </w:r>
      <w:r>
        <w:rPr>
          <w:rFonts w:hint="eastAsia" w:ascii="方正仿宋简体" w:hAnsi="方正仿宋简体" w:eastAsia="方正仿宋简体" w:cs="方正仿宋简体"/>
          <w:bCs/>
          <w:color w:val="auto"/>
          <w:sz w:val="32"/>
          <w:szCs w:val="32"/>
          <w:shd w:val="clear" w:color="auto" w:fill="FFFFFF"/>
          <w:lang w:val="en-US" w:eastAsia="zh-CN"/>
        </w:rPr>
        <w:t>10</w:t>
      </w:r>
      <w:r>
        <w:rPr>
          <w:rFonts w:hint="default" w:ascii="方正仿宋简体" w:hAnsi="方正仿宋简体" w:eastAsia="方正仿宋简体" w:cs="方正仿宋简体"/>
          <w:bCs/>
          <w:color w:val="auto"/>
          <w:sz w:val="32"/>
          <w:szCs w:val="32"/>
          <w:shd w:val="clear" w:color="auto" w:fill="FFFFFF"/>
          <w:lang w:val="en-US" w:eastAsia="zh-CN"/>
        </w:rPr>
        <w:t>类，总计</w:t>
      </w:r>
      <w:r>
        <w:rPr>
          <w:rFonts w:hint="eastAsia" w:ascii="方正仿宋简体" w:hAnsi="方正仿宋简体" w:eastAsia="方正仿宋简体" w:cs="方正仿宋简体"/>
          <w:bCs/>
          <w:color w:val="auto"/>
          <w:sz w:val="32"/>
          <w:szCs w:val="32"/>
          <w:shd w:val="clear" w:color="auto" w:fill="FFFFFF"/>
          <w:lang w:val="en-US" w:eastAsia="zh-CN"/>
        </w:rPr>
        <w:t>21</w:t>
      </w:r>
      <w:r>
        <w:rPr>
          <w:rFonts w:hint="default" w:ascii="方正仿宋简体" w:hAnsi="方正仿宋简体" w:eastAsia="方正仿宋简体" w:cs="方正仿宋简体"/>
          <w:bCs/>
          <w:color w:val="auto"/>
          <w:sz w:val="32"/>
          <w:szCs w:val="32"/>
          <w:shd w:val="clear" w:color="auto" w:fill="FFFFFF"/>
          <w:lang w:val="en-US" w:eastAsia="zh-CN"/>
        </w:rPr>
        <w:t>条公开信息。其中</w:t>
      </w:r>
      <w:r>
        <w:rPr>
          <w:rFonts w:hint="eastAsia" w:ascii="方正仿宋简体" w:hAnsi="方正仿宋简体" w:eastAsia="方正仿宋简体" w:cs="方正仿宋简体"/>
          <w:bCs/>
          <w:color w:val="auto"/>
          <w:sz w:val="32"/>
          <w:szCs w:val="32"/>
          <w:shd w:val="clear" w:color="auto" w:fill="FFFFFF"/>
          <w:lang w:val="en-US" w:eastAsia="zh-CN"/>
        </w:rPr>
        <w:t>部门职能简介信息1条、部门预算信息2条、部门决算信息2条、重大民生信息1条、义务教育信息4条、教育信息1条、部门行政执法事前公示信息6条、事后公示信息2条、部门涉企行政检查公示文书信息1条、其他法定信息1条（</w:t>
      </w:r>
      <w:r>
        <w:rPr>
          <w:rFonts w:hint="default" w:ascii="方正仿宋简体" w:hAnsi="方正仿宋简体" w:eastAsia="方正仿宋简体" w:cs="方正仿宋简体"/>
          <w:bCs/>
          <w:color w:val="auto"/>
          <w:sz w:val="32"/>
          <w:szCs w:val="32"/>
          <w:shd w:val="clear" w:color="auto" w:fill="FFFFFF"/>
          <w:lang w:val="en-US" w:eastAsia="zh-CN"/>
        </w:rPr>
        <w:t>所列数据的统计期限自20</w:t>
      </w:r>
      <w:r>
        <w:rPr>
          <w:rFonts w:hint="eastAsia" w:ascii="方正仿宋简体" w:hAnsi="方正仿宋简体" w:eastAsia="方正仿宋简体" w:cs="方正仿宋简体"/>
          <w:bCs/>
          <w:color w:val="auto"/>
          <w:sz w:val="32"/>
          <w:szCs w:val="32"/>
          <w:shd w:val="clear" w:color="auto" w:fill="FFFFFF"/>
          <w:lang w:val="en-US" w:eastAsia="zh-CN"/>
        </w:rPr>
        <w:t>25</w:t>
      </w:r>
      <w:r>
        <w:rPr>
          <w:rFonts w:hint="default" w:ascii="方正仿宋简体" w:hAnsi="方正仿宋简体" w:eastAsia="方正仿宋简体" w:cs="方正仿宋简体"/>
          <w:bCs/>
          <w:color w:val="auto"/>
          <w:sz w:val="32"/>
          <w:szCs w:val="32"/>
          <w:shd w:val="clear" w:color="auto" w:fill="FFFFFF"/>
          <w:lang w:val="en-US" w:eastAsia="zh-CN"/>
        </w:rPr>
        <w:t>年1月1日起至20</w:t>
      </w:r>
      <w:r>
        <w:rPr>
          <w:rFonts w:hint="eastAsia" w:ascii="方正仿宋简体" w:hAnsi="方正仿宋简体" w:eastAsia="方正仿宋简体" w:cs="方正仿宋简体"/>
          <w:bCs/>
          <w:color w:val="auto"/>
          <w:sz w:val="32"/>
          <w:szCs w:val="32"/>
          <w:shd w:val="clear" w:color="auto" w:fill="FFFFFF"/>
          <w:lang w:val="en-US" w:eastAsia="zh-CN"/>
        </w:rPr>
        <w:t>25</w:t>
      </w:r>
      <w:r>
        <w:rPr>
          <w:rFonts w:hint="default" w:ascii="方正仿宋简体" w:hAnsi="方正仿宋简体" w:eastAsia="方正仿宋简体" w:cs="方正仿宋简体"/>
          <w:bCs/>
          <w:color w:val="auto"/>
          <w:sz w:val="32"/>
          <w:szCs w:val="32"/>
          <w:shd w:val="clear" w:color="auto" w:fill="FFFFFF"/>
          <w:lang w:val="en-US" w:eastAsia="zh-CN"/>
        </w:rPr>
        <w:t>年1</w:t>
      </w:r>
      <w:r>
        <w:rPr>
          <w:rFonts w:hint="eastAsia" w:ascii="方正仿宋简体" w:hAnsi="方正仿宋简体" w:eastAsia="方正仿宋简体" w:cs="方正仿宋简体"/>
          <w:bCs/>
          <w:color w:val="auto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default" w:ascii="方正仿宋简体" w:hAnsi="方正仿宋简体" w:eastAsia="方正仿宋简体" w:cs="方正仿宋简体"/>
          <w:bCs/>
          <w:color w:val="auto"/>
          <w:sz w:val="32"/>
          <w:szCs w:val="32"/>
          <w:shd w:val="clear" w:color="auto" w:fill="FFFFFF"/>
          <w:lang w:val="en-US" w:eastAsia="zh-CN"/>
        </w:rPr>
        <w:t>月</w:t>
      </w:r>
      <w:r>
        <w:rPr>
          <w:rFonts w:hint="eastAsia" w:ascii="方正仿宋简体" w:hAnsi="方正仿宋简体" w:eastAsia="方正仿宋简体" w:cs="方正仿宋简体"/>
          <w:bCs/>
          <w:color w:val="auto"/>
          <w:sz w:val="32"/>
          <w:szCs w:val="32"/>
          <w:shd w:val="clear" w:color="auto" w:fill="FFFFFF"/>
          <w:lang w:val="en-US" w:eastAsia="zh-CN"/>
        </w:rPr>
        <w:t>31</w:t>
      </w:r>
      <w:r>
        <w:rPr>
          <w:rFonts w:hint="default" w:ascii="方正仿宋简体" w:hAnsi="方正仿宋简体" w:eastAsia="方正仿宋简体" w:cs="方正仿宋简体"/>
          <w:bCs/>
          <w:color w:val="auto"/>
          <w:sz w:val="32"/>
          <w:szCs w:val="32"/>
          <w:shd w:val="clear" w:color="auto" w:fill="FFFFFF"/>
          <w:lang w:val="en-US" w:eastAsia="zh-CN"/>
        </w:rPr>
        <w:t>日止</w:t>
      </w:r>
      <w:r>
        <w:rPr>
          <w:rFonts w:hint="eastAsia" w:ascii="方正仿宋简体" w:hAnsi="方正仿宋简体" w:eastAsia="方正仿宋简体" w:cs="方正仿宋简体"/>
          <w:bCs/>
          <w:color w:val="auto"/>
          <w:sz w:val="32"/>
          <w:szCs w:val="32"/>
          <w:shd w:val="clear" w:color="auto" w:fill="FFFFFF"/>
          <w:lang w:val="en-US" w:eastAsia="zh-CN"/>
        </w:rPr>
        <w:t>）。在石家庄市教育局官方网站公开信息1条。</w:t>
      </w:r>
    </w:p>
    <w:p>
      <w:pPr>
        <w:keepNext w:val="0"/>
        <w:keepLines w:val="0"/>
        <w:pageBreakBefore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方正黑体简体" w:hAnsi="方正黑体简体" w:eastAsia="方正黑体简体" w:cs="方正黑体简体"/>
          <w:bCs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方正黑体简体" w:hAnsi="方正黑体简体" w:eastAsia="方正黑体简体" w:cs="方正黑体简体"/>
          <w:bCs/>
          <w:color w:val="000000"/>
          <w:sz w:val="32"/>
          <w:szCs w:val="32"/>
          <w:shd w:val="clear" w:color="auto" w:fill="FFFFFF"/>
          <w:lang w:val="en-US" w:eastAsia="zh-CN"/>
        </w:rPr>
        <w:t>二、主动公开政府信息情况</w:t>
      </w:r>
    </w:p>
    <w:tbl>
      <w:tblPr>
        <w:tblStyle w:val="5"/>
        <w:tblW w:w="894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7"/>
        <w:gridCol w:w="2237"/>
        <w:gridCol w:w="2237"/>
        <w:gridCol w:w="22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948" w:type="dxa"/>
            <w:gridSpan w:val="4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第二十条　第（一）项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7" w:type="dxa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信息内容</w:t>
            </w:r>
          </w:p>
        </w:tc>
        <w:tc>
          <w:tcPr>
            <w:tcW w:w="2237" w:type="dxa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本年制发件数</w:t>
            </w:r>
          </w:p>
        </w:tc>
        <w:tc>
          <w:tcPr>
            <w:tcW w:w="2237" w:type="dxa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本年废止件数</w:t>
            </w:r>
          </w:p>
        </w:tc>
        <w:tc>
          <w:tcPr>
            <w:tcW w:w="2237" w:type="dxa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现行有效件数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7" w:type="dxa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规章</w:t>
            </w:r>
          </w:p>
        </w:tc>
        <w:tc>
          <w:tcPr>
            <w:tcW w:w="2237" w:type="dxa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0</w:t>
            </w:r>
          </w:p>
        </w:tc>
        <w:tc>
          <w:tcPr>
            <w:tcW w:w="2237" w:type="dxa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0</w:t>
            </w:r>
          </w:p>
        </w:tc>
        <w:tc>
          <w:tcPr>
            <w:tcW w:w="2237" w:type="dxa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7" w:type="dxa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行政规范性文件</w:t>
            </w:r>
          </w:p>
        </w:tc>
        <w:tc>
          <w:tcPr>
            <w:tcW w:w="2237" w:type="dxa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0</w:t>
            </w:r>
          </w:p>
        </w:tc>
        <w:tc>
          <w:tcPr>
            <w:tcW w:w="2237" w:type="dxa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0</w:t>
            </w:r>
          </w:p>
        </w:tc>
        <w:tc>
          <w:tcPr>
            <w:tcW w:w="2237" w:type="dxa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948" w:type="dxa"/>
            <w:gridSpan w:val="4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第二十条　第（五）项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7" w:type="dxa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信息内容</w:t>
            </w:r>
          </w:p>
        </w:tc>
        <w:tc>
          <w:tcPr>
            <w:tcW w:w="6711" w:type="dxa"/>
            <w:gridSpan w:val="3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本年处理决定数量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7" w:type="dxa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行政许可</w:t>
            </w:r>
          </w:p>
        </w:tc>
        <w:tc>
          <w:tcPr>
            <w:tcW w:w="6711" w:type="dxa"/>
            <w:gridSpan w:val="3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948" w:type="dxa"/>
            <w:gridSpan w:val="4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第二十条　第（六）项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7" w:type="dxa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信息内容</w:t>
            </w:r>
          </w:p>
        </w:tc>
        <w:tc>
          <w:tcPr>
            <w:tcW w:w="6711" w:type="dxa"/>
            <w:gridSpan w:val="3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本年处理决定数量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7" w:type="dxa"/>
            <w:vAlign w:val="top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行政处罚</w:t>
            </w:r>
          </w:p>
        </w:tc>
        <w:tc>
          <w:tcPr>
            <w:tcW w:w="6711" w:type="dxa"/>
            <w:gridSpan w:val="3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7" w:type="dxa"/>
            <w:vAlign w:val="top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行政强制</w:t>
            </w:r>
          </w:p>
        </w:tc>
        <w:tc>
          <w:tcPr>
            <w:tcW w:w="6711" w:type="dxa"/>
            <w:gridSpan w:val="3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948" w:type="dxa"/>
            <w:gridSpan w:val="4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第二十条　第（八）项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7" w:type="dxa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信息内容</w:t>
            </w:r>
          </w:p>
        </w:tc>
        <w:tc>
          <w:tcPr>
            <w:tcW w:w="6711" w:type="dxa"/>
            <w:gridSpan w:val="3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本年收费金额（单位：万元）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7" w:type="dxa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行政事业性收费</w:t>
            </w:r>
          </w:p>
        </w:tc>
        <w:tc>
          <w:tcPr>
            <w:tcW w:w="6711" w:type="dxa"/>
            <w:gridSpan w:val="3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600" w:lineRule="exact"/>
              <w:jc w:val="center"/>
              <w:textAlignment w:val="auto"/>
              <w:outlineLvl w:val="9"/>
              <w:rPr>
                <w:rFonts w:hint="default" w:ascii="方正仿宋简体" w:hAnsi="方正仿宋简体" w:eastAsia="方正仿宋简体" w:cs="方正仿宋简体"/>
                <w:bCs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color w:val="auto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1254.73万元</w:t>
            </w:r>
          </w:p>
        </w:tc>
      </w:tr>
    </w:tbl>
    <w:p>
      <w:pPr>
        <w:keepNext w:val="0"/>
        <w:keepLines w:val="0"/>
        <w:pageBreakBefore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方正黑体简体" w:hAnsi="方正黑体简体" w:eastAsia="方正黑体简体" w:cs="方正黑体简体"/>
          <w:bCs/>
          <w:color w:val="000000"/>
          <w:sz w:val="32"/>
          <w:szCs w:val="32"/>
          <w:shd w:val="clear" w:color="auto" w:fill="FFFFFF"/>
          <w:lang w:val="en-US" w:eastAsia="zh-CN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方正黑体简体" w:hAnsi="方正黑体简体" w:eastAsia="方正黑体简体" w:cs="方正黑体简体"/>
          <w:bCs/>
          <w:color w:val="000000"/>
          <w:sz w:val="32"/>
          <w:szCs w:val="32"/>
          <w:shd w:val="clear" w:color="auto" w:fill="FFFFFF"/>
          <w:lang w:val="en-US" w:eastAsia="zh-CN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方正黑体简体" w:hAnsi="方正黑体简体" w:eastAsia="方正黑体简体" w:cs="方正黑体简体"/>
          <w:bCs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方正黑体简体" w:hAnsi="方正黑体简体" w:eastAsia="方正黑体简体" w:cs="方正黑体简体"/>
          <w:bCs/>
          <w:color w:val="000000"/>
          <w:sz w:val="32"/>
          <w:szCs w:val="32"/>
          <w:shd w:val="clear" w:color="auto" w:fill="FFFFFF"/>
          <w:lang w:val="en-US" w:eastAsia="zh-CN"/>
        </w:rPr>
        <w:t>三、</w:t>
      </w:r>
      <w:r>
        <w:rPr>
          <w:rFonts w:hint="eastAsia" w:ascii="方正黑体简体" w:hAnsi="方正黑体简体" w:eastAsia="方正黑体简体" w:cs="方正黑体简体"/>
          <w:bCs/>
          <w:color w:val="000000"/>
          <w:sz w:val="32"/>
          <w:szCs w:val="32"/>
          <w:shd w:val="clear" w:color="auto" w:fill="FFFFFF"/>
          <w:lang w:val="en-US" w:eastAsia="zh-CN"/>
        </w:rPr>
        <w:t>收到和处理政府信息</w:t>
      </w:r>
      <w:r>
        <w:rPr>
          <w:rFonts w:hint="default" w:ascii="方正黑体简体" w:hAnsi="方正黑体简体" w:eastAsia="方正黑体简体" w:cs="方正黑体简体"/>
          <w:bCs/>
          <w:color w:val="000000"/>
          <w:sz w:val="32"/>
          <w:szCs w:val="32"/>
          <w:shd w:val="clear" w:color="auto" w:fill="FFFFFF"/>
          <w:lang w:val="en-US" w:eastAsia="zh-CN"/>
        </w:rPr>
        <w:t>公开</w:t>
      </w:r>
      <w:r>
        <w:rPr>
          <w:rFonts w:hint="eastAsia" w:ascii="方正黑体简体" w:hAnsi="方正黑体简体" w:eastAsia="方正黑体简体" w:cs="方正黑体简体"/>
          <w:bCs/>
          <w:color w:val="000000"/>
          <w:sz w:val="32"/>
          <w:szCs w:val="32"/>
          <w:shd w:val="clear" w:color="auto" w:fill="FFFFFF"/>
          <w:lang w:val="en-US" w:eastAsia="zh-CN"/>
        </w:rPr>
        <w:t>申请</w:t>
      </w:r>
      <w:r>
        <w:rPr>
          <w:rFonts w:hint="default" w:ascii="方正黑体简体" w:hAnsi="方正黑体简体" w:eastAsia="方正黑体简体" w:cs="方正黑体简体"/>
          <w:bCs/>
          <w:color w:val="000000"/>
          <w:sz w:val="32"/>
          <w:szCs w:val="32"/>
          <w:shd w:val="clear" w:color="auto" w:fill="FFFFFF"/>
          <w:lang w:val="en-US" w:eastAsia="zh-CN"/>
        </w:rPr>
        <w:t>情况</w:t>
      </w:r>
    </w:p>
    <w:tbl>
      <w:tblPr>
        <w:tblStyle w:val="4"/>
        <w:tblW w:w="8840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71"/>
        <w:gridCol w:w="719"/>
        <w:gridCol w:w="2958"/>
        <w:gridCol w:w="659"/>
        <w:gridCol w:w="610"/>
        <w:gridCol w:w="619"/>
        <w:gridCol w:w="849"/>
        <w:gridCol w:w="820"/>
        <w:gridCol w:w="590"/>
        <w:gridCol w:w="545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9" w:hRule="atLeast"/>
        </w:trPr>
        <w:tc>
          <w:tcPr>
            <w:tcW w:w="4148" w:type="dxa"/>
            <w:gridSpan w:val="3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（本列数据的勾稽关系为：第一项加第二项之和，等于第三项加第四项之和）</w:t>
            </w:r>
          </w:p>
        </w:tc>
        <w:tc>
          <w:tcPr>
            <w:tcW w:w="4692" w:type="dxa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申请人情况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7" w:hRule="atLeast"/>
        </w:trPr>
        <w:tc>
          <w:tcPr>
            <w:tcW w:w="4148" w:type="dxa"/>
            <w:gridSpan w:val="3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659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自然人</w:t>
            </w:r>
          </w:p>
        </w:tc>
        <w:tc>
          <w:tcPr>
            <w:tcW w:w="3488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法人或其他组织</w:t>
            </w:r>
          </w:p>
        </w:tc>
        <w:tc>
          <w:tcPr>
            <w:tcW w:w="545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总计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5" w:hRule="exact"/>
        </w:trPr>
        <w:tc>
          <w:tcPr>
            <w:tcW w:w="4148" w:type="dxa"/>
            <w:gridSpan w:val="3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65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商业企业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科研机构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社会公益组织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法律服务机构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其他</w:t>
            </w:r>
          </w:p>
        </w:tc>
        <w:tc>
          <w:tcPr>
            <w:tcW w:w="545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</w:trPr>
        <w:tc>
          <w:tcPr>
            <w:tcW w:w="4148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一、本年新收政府信息公开申请数量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</w:trPr>
        <w:tc>
          <w:tcPr>
            <w:tcW w:w="4148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二、上年结转政府信息公开申请数量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47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三、本年度办理结果</w:t>
            </w:r>
          </w:p>
        </w:tc>
        <w:tc>
          <w:tcPr>
            <w:tcW w:w="367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left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（一）予以公开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5" w:hRule="exact"/>
        </w:trPr>
        <w:tc>
          <w:tcPr>
            <w:tcW w:w="47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367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left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（二）部分公开（区分处理的，只计这一情形，不计其他情形）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</w:trPr>
        <w:tc>
          <w:tcPr>
            <w:tcW w:w="47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719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（三）不予公开</w:t>
            </w:r>
          </w:p>
        </w:tc>
        <w:tc>
          <w:tcPr>
            <w:tcW w:w="295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left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1.属于国家秘密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</w:trPr>
        <w:tc>
          <w:tcPr>
            <w:tcW w:w="47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295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left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2.其他法律行政法规禁止公开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</w:trPr>
        <w:tc>
          <w:tcPr>
            <w:tcW w:w="47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295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left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3.危及“三安全一稳定”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</w:trPr>
        <w:tc>
          <w:tcPr>
            <w:tcW w:w="47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295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left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4.保护第三方合法权益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</w:trPr>
        <w:tc>
          <w:tcPr>
            <w:tcW w:w="47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295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left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5.属于三类内部事务信息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</w:trPr>
        <w:tc>
          <w:tcPr>
            <w:tcW w:w="47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295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left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6.属于四类过程性信息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</w:trPr>
        <w:tc>
          <w:tcPr>
            <w:tcW w:w="47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295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left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7.属于行政执法案卷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</w:trPr>
        <w:tc>
          <w:tcPr>
            <w:tcW w:w="47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295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left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8.属于行政查询事项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</w:trPr>
        <w:tc>
          <w:tcPr>
            <w:tcW w:w="47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719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（四）无法提供</w:t>
            </w:r>
          </w:p>
        </w:tc>
        <w:tc>
          <w:tcPr>
            <w:tcW w:w="295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left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1.本机关不掌握相关政府信息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</w:trPr>
        <w:tc>
          <w:tcPr>
            <w:tcW w:w="47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295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left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2.没有现成信息需要另行制作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</w:trPr>
        <w:tc>
          <w:tcPr>
            <w:tcW w:w="47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295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left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3.补正后申请内容仍不明确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</w:trPr>
        <w:tc>
          <w:tcPr>
            <w:tcW w:w="47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719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（五）不予处理</w:t>
            </w:r>
          </w:p>
        </w:tc>
        <w:tc>
          <w:tcPr>
            <w:tcW w:w="295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left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1.信访举报投诉类申请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</w:trPr>
        <w:tc>
          <w:tcPr>
            <w:tcW w:w="47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295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left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2.重复申请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</w:trPr>
        <w:tc>
          <w:tcPr>
            <w:tcW w:w="47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295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left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3.要求提供公开出版物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</w:trPr>
        <w:tc>
          <w:tcPr>
            <w:tcW w:w="47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295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left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4.无正当理由大量反复申请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5" w:hRule="exact"/>
        </w:trPr>
        <w:tc>
          <w:tcPr>
            <w:tcW w:w="47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71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295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left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5.要求行政机关确认或重新出具已获取信息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</w:trPr>
        <w:tc>
          <w:tcPr>
            <w:tcW w:w="47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367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（六）其他处理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</w:trPr>
        <w:tc>
          <w:tcPr>
            <w:tcW w:w="47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367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（七）总计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exact"/>
        </w:trPr>
        <w:tc>
          <w:tcPr>
            <w:tcW w:w="4148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四、结转下年度继续办理</w:t>
            </w:r>
          </w:p>
        </w:tc>
        <w:tc>
          <w:tcPr>
            <w:tcW w:w="6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6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8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  <w:tc>
          <w:tcPr>
            <w:tcW w:w="5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0</w:t>
            </w:r>
          </w:p>
        </w:tc>
      </w:tr>
    </w:tbl>
    <w:p>
      <w:pPr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方正黑体简体" w:hAnsi="方正黑体简体" w:eastAsia="方正黑体简体" w:cs="方正黑体简体"/>
          <w:bCs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方正黑体简体" w:hAnsi="方正黑体简体" w:eastAsia="方正黑体简体" w:cs="方正黑体简体"/>
          <w:bCs/>
          <w:color w:val="000000"/>
          <w:sz w:val="32"/>
          <w:szCs w:val="32"/>
          <w:shd w:val="clear" w:color="auto" w:fill="FFFFFF"/>
          <w:lang w:val="en-US" w:eastAsia="zh-CN"/>
        </w:rPr>
        <w:t>四、</w:t>
      </w:r>
      <w:r>
        <w:rPr>
          <w:rFonts w:hint="eastAsia" w:ascii="方正黑体简体" w:hAnsi="方正黑体简体" w:eastAsia="方正黑体简体" w:cs="方正黑体简体"/>
          <w:bCs/>
          <w:color w:val="000000"/>
          <w:sz w:val="32"/>
          <w:szCs w:val="32"/>
          <w:shd w:val="clear" w:color="auto" w:fill="FFFFFF"/>
          <w:lang w:val="en-US" w:eastAsia="zh-CN"/>
        </w:rPr>
        <w:t>政府信息公开行政复议、行政诉讼情况</w:t>
      </w:r>
    </w:p>
    <w:tbl>
      <w:tblPr>
        <w:tblStyle w:val="4"/>
        <w:tblW w:w="8820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85"/>
        <w:gridCol w:w="585"/>
        <w:gridCol w:w="585"/>
        <w:gridCol w:w="585"/>
        <w:gridCol w:w="589"/>
        <w:gridCol w:w="648"/>
        <w:gridCol w:w="612"/>
        <w:gridCol w:w="588"/>
        <w:gridCol w:w="576"/>
        <w:gridCol w:w="527"/>
        <w:gridCol w:w="585"/>
        <w:gridCol w:w="585"/>
        <w:gridCol w:w="585"/>
        <w:gridCol w:w="585"/>
        <w:gridCol w:w="600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c>
          <w:tcPr>
            <w:tcW w:w="2929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行政复议</w:t>
            </w:r>
          </w:p>
        </w:tc>
        <w:tc>
          <w:tcPr>
            <w:tcW w:w="5891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行政诉讼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585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结果维持</w:t>
            </w:r>
          </w:p>
        </w:tc>
        <w:tc>
          <w:tcPr>
            <w:tcW w:w="585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结果纠正</w:t>
            </w:r>
          </w:p>
        </w:tc>
        <w:tc>
          <w:tcPr>
            <w:tcW w:w="585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其他结果</w:t>
            </w:r>
          </w:p>
        </w:tc>
        <w:tc>
          <w:tcPr>
            <w:tcW w:w="585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尚未审结</w:t>
            </w:r>
          </w:p>
        </w:tc>
        <w:tc>
          <w:tcPr>
            <w:tcW w:w="589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总计</w:t>
            </w:r>
          </w:p>
        </w:tc>
        <w:tc>
          <w:tcPr>
            <w:tcW w:w="2951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未经复议直接起诉</w:t>
            </w:r>
          </w:p>
        </w:tc>
        <w:tc>
          <w:tcPr>
            <w:tcW w:w="2940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复议后起诉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585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585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585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585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58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结果维持</w:t>
            </w:r>
          </w:p>
        </w:tc>
        <w:tc>
          <w:tcPr>
            <w:tcW w:w="6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结果纠正</w:t>
            </w:r>
          </w:p>
        </w:tc>
        <w:tc>
          <w:tcPr>
            <w:tcW w:w="5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其他结果</w:t>
            </w:r>
          </w:p>
        </w:tc>
        <w:tc>
          <w:tcPr>
            <w:tcW w:w="5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尚未审结</w:t>
            </w:r>
          </w:p>
        </w:tc>
        <w:tc>
          <w:tcPr>
            <w:tcW w:w="5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总计</w:t>
            </w:r>
          </w:p>
        </w:tc>
        <w:tc>
          <w:tcPr>
            <w:tcW w:w="5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结果维持</w:t>
            </w:r>
          </w:p>
        </w:tc>
        <w:tc>
          <w:tcPr>
            <w:tcW w:w="5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结果纠正</w:t>
            </w:r>
          </w:p>
        </w:tc>
        <w:tc>
          <w:tcPr>
            <w:tcW w:w="5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其他结果</w:t>
            </w:r>
          </w:p>
        </w:tc>
        <w:tc>
          <w:tcPr>
            <w:tcW w:w="5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尚未审结</w:t>
            </w:r>
          </w:p>
        </w:tc>
        <w:tc>
          <w:tcPr>
            <w:tcW w:w="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</w:pPr>
            <w:r>
              <w:rPr>
                <w:rFonts w:hint="eastAsia" w:ascii="方正仿宋简体" w:hAnsi="方正仿宋简体" w:eastAsia="方正仿宋简体" w:cs="方正仿宋简体"/>
                <w:sz w:val="18"/>
                <w:szCs w:val="18"/>
              </w:rPr>
              <w:t>总计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5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  <w:t>0</w:t>
            </w:r>
          </w:p>
        </w:tc>
        <w:tc>
          <w:tcPr>
            <w:tcW w:w="5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  <w:t>0</w:t>
            </w:r>
          </w:p>
        </w:tc>
        <w:tc>
          <w:tcPr>
            <w:tcW w:w="5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  <w:t>0</w:t>
            </w:r>
          </w:p>
        </w:tc>
        <w:tc>
          <w:tcPr>
            <w:tcW w:w="5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  <w:t>0</w:t>
            </w:r>
          </w:p>
        </w:tc>
        <w:tc>
          <w:tcPr>
            <w:tcW w:w="58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  <w:t>0</w:t>
            </w:r>
          </w:p>
        </w:tc>
        <w:tc>
          <w:tcPr>
            <w:tcW w:w="61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  <w:t>0</w:t>
            </w:r>
          </w:p>
        </w:tc>
        <w:tc>
          <w:tcPr>
            <w:tcW w:w="5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  <w:t>0</w:t>
            </w:r>
          </w:p>
        </w:tc>
        <w:tc>
          <w:tcPr>
            <w:tcW w:w="5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  <w:t>0</w:t>
            </w:r>
          </w:p>
        </w:tc>
        <w:tc>
          <w:tcPr>
            <w:tcW w:w="5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  <w:t>0</w:t>
            </w:r>
          </w:p>
        </w:tc>
        <w:tc>
          <w:tcPr>
            <w:tcW w:w="5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  <w:t>0</w:t>
            </w:r>
          </w:p>
        </w:tc>
        <w:tc>
          <w:tcPr>
            <w:tcW w:w="5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  <w:t>0</w:t>
            </w:r>
          </w:p>
        </w:tc>
        <w:tc>
          <w:tcPr>
            <w:tcW w:w="5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  <w:t>0</w:t>
            </w:r>
          </w:p>
        </w:tc>
        <w:tc>
          <w:tcPr>
            <w:tcW w:w="5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  <w:t>0</w:t>
            </w:r>
          </w:p>
        </w:tc>
        <w:tc>
          <w:tcPr>
            <w:tcW w:w="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75" w:type="dxa"/>
              <w:left w:w="105" w:type="dxa"/>
              <w:bottom w:w="7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1"/>
                <w:szCs w:val="21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default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Cs/>
          <w:color w:val="000000"/>
          <w:sz w:val="32"/>
          <w:szCs w:val="32"/>
          <w:shd w:val="clear" w:color="auto" w:fill="FFFFFF"/>
          <w:lang w:val="en-US" w:eastAsia="zh-CN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default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在肯定成绩的同时，我们也清醒认识到工作中存在的不足：</w:t>
      </w:r>
      <w:r>
        <w:rPr>
          <w:rFonts w:hint="eastAsia" w:ascii="方正楷体简体" w:hAnsi="方正楷体简体" w:eastAsia="方正楷体简体" w:cs="方正楷体简体"/>
          <w:b/>
          <w:bCs w:val="0"/>
          <w:color w:val="000000"/>
          <w:sz w:val="32"/>
          <w:szCs w:val="32"/>
          <w:shd w:val="clear" w:color="auto" w:fill="FFFFFF"/>
          <w:lang w:val="en-US" w:eastAsia="zh-CN"/>
        </w:rPr>
        <w:t>一是</w:t>
      </w:r>
      <w:r>
        <w:rPr>
          <w:rFonts w:hint="default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公开内容深度有待加强。 部分政策解读、执行落实情况</w:t>
      </w:r>
      <w:r>
        <w:rPr>
          <w:rFonts w:hint="eastAsia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等</w:t>
      </w:r>
      <w:r>
        <w:rPr>
          <w:rFonts w:hint="default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 xml:space="preserve">信息的公开不够及时、深入，与公众对教育热点问题的关切存在差距。 </w:t>
      </w:r>
      <w:r>
        <w:rPr>
          <w:rFonts w:hint="eastAsia" w:ascii="方正楷体简体" w:hAnsi="方正楷体简体" w:eastAsia="方正楷体简体" w:cs="方正楷体简体"/>
          <w:b/>
          <w:bCs w:val="0"/>
          <w:color w:val="000000"/>
          <w:sz w:val="32"/>
          <w:szCs w:val="32"/>
          <w:shd w:val="clear" w:color="auto" w:fill="FFFFFF"/>
          <w:lang w:val="en-US" w:eastAsia="zh-CN"/>
        </w:rPr>
        <w:t>二是</w:t>
      </w:r>
      <w:r>
        <w:rPr>
          <w:rFonts w:hint="default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工作协同机制需完善。 部分</w:t>
      </w:r>
      <w:r>
        <w:rPr>
          <w:rFonts w:hint="eastAsia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股</w:t>
      </w:r>
      <w:r>
        <w:rPr>
          <w:rFonts w:hint="default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室对政务公开重要性的认识及业务能力需持续提升，信息共享与发布的协同效率有待加强。</w:t>
      </w:r>
    </w:p>
    <w:p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default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下一步改进措施：</w:t>
      </w:r>
      <w:r>
        <w:rPr>
          <w:rFonts w:hint="eastAsia" w:ascii="方正楷体简体" w:hAnsi="方正楷体简体" w:eastAsia="方正楷体简体" w:cs="方正楷体简体"/>
          <w:b/>
          <w:bCs w:val="0"/>
          <w:color w:val="000000"/>
          <w:sz w:val="32"/>
          <w:szCs w:val="32"/>
          <w:shd w:val="clear" w:color="auto" w:fill="FFFFFF"/>
          <w:lang w:val="en-US" w:eastAsia="zh-CN"/>
        </w:rPr>
        <w:t>一是</w:t>
      </w:r>
      <w:r>
        <w:rPr>
          <w:rFonts w:hint="default" w:ascii="方正楷体简体" w:hAnsi="方正楷体简体" w:eastAsia="方正楷体简体" w:cs="方正楷体简体"/>
          <w:b/>
          <w:bCs w:val="0"/>
          <w:color w:val="000000"/>
          <w:sz w:val="32"/>
          <w:szCs w:val="32"/>
          <w:shd w:val="clear" w:color="auto" w:fill="FFFFFF"/>
          <w:lang w:val="en-US" w:eastAsia="zh-CN"/>
        </w:rPr>
        <w:t>深化公开内容</w:t>
      </w:r>
      <w:r>
        <w:rPr>
          <w:rFonts w:hint="default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。重点围绕群众关心的招生入学、教育收费、教师招聘、校园安全等热点领域，强化政策解读和执行结果公开，提升信息的实用性、时效性和可理解性。</w:t>
      </w:r>
      <w:r>
        <w:rPr>
          <w:rFonts w:hint="eastAsia" w:ascii="方正楷体简体" w:hAnsi="方正楷体简体" w:eastAsia="方正楷体简体" w:cs="方正楷体简体"/>
          <w:b/>
          <w:bCs w:val="0"/>
          <w:color w:val="000000"/>
          <w:sz w:val="32"/>
          <w:szCs w:val="32"/>
          <w:shd w:val="clear" w:color="auto" w:fill="FFFFFF"/>
          <w:lang w:val="en-US" w:eastAsia="zh-CN"/>
        </w:rPr>
        <w:t>二是</w:t>
      </w:r>
      <w:r>
        <w:rPr>
          <w:rFonts w:hint="default" w:ascii="方正楷体简体" w:hAnsi="方正楷体简体" w:eastAsia="方正楷体简体" w:cs="方正楷体简体"/>
          <w:b/>
          <w:bCs w:val="0"/>
          <w:color w:val="000000"/>
          <w:sz w:val="32"/>
          <w:szCs w:val="32"/>
          <w:shd w:val="clear" w:color="auto" w:fill="FFFFFF"/>
          <w:lang w:val="en-US" w:eastAsia="zh-CN"/>
        </w:rPr>
        <w:t>强化能力建设</w:t>
      </w:r>
      <w:r>
        <w:rPr>
          <w:rFonts w:hint="default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。组织专题培训，提升全局工作人员特别是信息员的政策水平和业务能力。健全内部协调机制，明确各</w:t>
      </w:r>
      <w:r>
        <w:rPr>
          <w:rFonts w:hint="eastAsia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股</w:t>
      </w:r>
      <w:r>
        <w:rPr>
          <w:rFonts w:hint="default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室职责，将政务公开要求融入业务工作全流程。加强对基层学校校务公开的指导，形成工作合力。</w:t>
      </w:r>
    </w:p>
    <w:p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</w:pPr>
      <w:bookmarkStart w:id="0" w:name="_GoBack"/>
      <w:bookmarkEnd w:id="0"/>
      <w:r>
        <w:rPr>
          <w:rFonts w:hint="eastAsia" w:ascii="方正黑体简体" w:hAnsi="方正黑体简体" w:eastAsia="方正黑体简体" w:cs="方正黑体简体"/>
          <w:bCs/>
          <w:color w:val="000000"/>
          <w:sz w:val="32"/>
          <w:szCs w:val="32"/>
          <w:shd w:val="clear" w:color="auto" w:fill="FFFFFF"/>
          <w:lang w:val="en-US" w:eastAsia="zh-CN"/>
        </w:rPr>
        <w:t>六、其他需要报告的事项</w:t>
      </w:r>
    </w:p>
    <w:p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val="en-US" w:eastAsia="zh-CN"/>
        </w:rPr>
        <w:t>无。</w:t>
      </w:r>
    </w:p>
    <w:p>
      <w:pPr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方正仿宋简体" w:hAnsi="方正仿宋简体" w:eastAsia="方正仿宋简体" w:cs="方正仿宋简体"/>
          <w:bCs/>
          <w:color w:val="000000"/>
          <w:sz w:val="32"/>
          <w:szCs w:val="32"/>
          <w:shd w:val="clear" w:color="auto" w:fill="FFFFFF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right="300" w:firstLine="200"/>
        <w:jc w:val="center"/>
        <w:textAlignment w:val="auto"/>
        <w:outlineLvl w:val="9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　　　　　　　　　　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井陉县教育局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200"/>
        <w:jc w:val="both"/>
        <w:textAlignment w:val="auto"/>
        <w:outlineLvl w:val="9"/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　　　　　　　　　　　　　　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 xml:space="preserve"> 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20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26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年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月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16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日</w:t>
      </w:r>
    </w:p>
    <w:sectPr>
      <w:footerReference r:id="rId3" w:type="default"/>
      <w:pgSz w:w="11906" w:h="16838"/>
      <w:pgMar w:top="1587" w:right="1587" w:bottom="1587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楷体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4439C1"/>
    <w:multiLevelType w:val="singleLevel"/>
    <w:tmpl w:val="BF4439C1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D26F48"/>
    <w:rsid w:val="01810938"/>
    <w:rsid w:val="05687F78"/>
    <w:rsid w:val="062549AC"/>
    <w:rsid w:val="06C951F5"/>
    <w:rsid w:val="09C6456F"/>
    <w:rsid w:val="0F812FD3"/>
    <w:rsid w:val="11AB3A42"/>
    <w:rsid w:val="14D62EA9"/>
    <w:rsid w:val="188B7E41"/>
    <w:rsid w:val="18F2033B"/>
    <w:rsid w:val="19BC47E2"/>
    <w:rsid w:val="21714D38"/>
    <w:rsid w:val="234A7779"/>
    <w:rsid w:val="23550C85"/>
    <w:rsid w:val="32C15974"/>
    <w:rsid w:val="37044F42"/>
    <w:rsid w:val="377F28B8"/>
    <w:rsid w:val="3AA15513"/>
    <w:rsid w:val="3CC71547"/>
    <w:rsid w:val="3E4D6DC5"/>
    <w:rsid w:val="4076780A"/>
    <w:rsid w:val="46C95167"/>
    <w:rsid w:val="47AA7EEF"/>
    <w:rsid w:val="47C44A44"/>
    <w:rsid w:val="47F90E64"/>
    <w:rsid w:val="48A424A1"/>
    <w:rsid w:val="4CE71081"/>
    <w:rsid w:val="51967ED3"/>
    <w:rsid w:val="51B84E33"/>
    <w:rsid w:val="52124CD3"/>
    <w:rsid w:val="57D11E75"/>
    <w:rsid w:val="58A255C2"/>
    <w:rsid w:val="5A365C2B"/>
    <w:rsid w:val="5BCE5ABE"/>
    <w:rsid w:val="60E61309"/>
    <w:rsid w:val="62F3460C"/>
    <w:rsid w:val="64D26F48"/>
    <w:rsid w:val="67206C9F"/>
    <w:rsid w:val="672246A8"/>
    <w:rsid w:val="6A422537"/>
    <w:rsid w:val="6A531C9F"/>
    <w:rsid w:val="6B00369D"/>
    <w:rsid w:val="6E261628"/>
    <w:rsid w:val="71A67303"/>
    <w:rsid w:val="72526755"/>
    <w:rsid w:val="77D77F2C"/>
    <w:rsid w:val="7A980C6F"/>
    <w:rsid w:val="7B8F618D"/>
    <w:rsid w:val="7C7E78CE"/>
    <w:rsid w:val="7D684ECB"/>
    <w:rsid w:val="7FB20D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  <w:szCs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0"/>
    <w:rPr>
      <w:b/>
    </w:rPr>
  </w:style>
  <w:style w:type="character" w:styleId="8">
    <w:name w:val="Emphasis"/>
    <w:basedOn w:val="6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1925</Words>
  <Characters>1972</Characters>
  <Lines>0</Lines>
  <Paragraphs>0</Paragraphs>
  <TotalTime>11</TotalTime>
  <ScaleCrop>false</ScaleCrop>
  <LinksUpToDate>false</LinksUpToDate>
  <CharactersWithSpaces>2005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2020-11-05T00:11:00Z</dcterms:created>
  <dc:creator>Administrator</dc:creator>
  <cp:lastModifiedBy>Administrator</cp:lastModifiedBy>
  <dcterms:modified xsi:type="dcterms:W3CDTF">2026-01-16T09:21:25Z</dcterms:modified>
  <dc:title>井陉县教育局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KSOTemplateDocerSaveRecord">
    <vt:lpwstr>eyJoZGlkIjoiOWY3ZjU1NzIzMThiMjY1ZTQ3ZmYwZmI1Njk4ODAwOGIiLCJ1c2VySWQiOiIxMTY0NTYxMTYwIn0=</vt:lpwstr>
  </property>
  <property fmtid="{D5CDD505-2E9C-101B-9397-08002B2CF9AE}" pid="4" name="ICV">
    <vt:lpwstr>05D08E4BEF9243EB9CE25B12CC457C91_12</vt:lpwstr>
  </property>
</Properties>
</file>