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widowControl w:val="0"/>
        <w:wordWrap/>
        <w:adjustRightInd/>
        <w:snapToGrid/>
        <w:spacing w:line="600" w:lineRule="exact"/>
        <w:ind w:left="0" w:leftChars="0" w:firstLine="0" w:firstLineChars="0"/>
        <w:textAlignment w:val="auto"/>
        <w:rPr>
          <w:rFonts w:hint="eastAsia" w:ascii="仿宋" w:hAnsi="仿宋" w:eastAsia="仿宋" w:cs="仿宋"/>
          <w:b w:val="0"/>
          <w:i w:val="0"/>
          <w:caps w:val="0"/>
          <w:color w:val="212121"/>
          <w:spacing w:val="0"/>
          <w:kern w:val="0"/>
          <w:sz w:val="32"/>
          <w:szCs w:val="32"/>
          <w:shd w:val="clear" w:color="090000" w:fill="FFFFFF"/>
          <w:lang w:val="en-US" w:eastAsia="zh-CN"/>
        </w:rPr>
      </w:pPr>
    </w:p>
    <w:p>
      <w:pPr>
        <w:widowControl w:val="0"/>
        <w:wordWrap/>
        <w:adjustRightInd/>
        <w:snapToGrid/>
        <w:spacing w:line="600" w:lineRule="exact"/>
        <w:jc w:val="center"/>
        <w:textAlignment w:val="auto"/>
        <w:rPr>
          <w:rFonts w:hint="default" w:ascii="方正小标宋简体" w:hAnsi="方正小标宋简体" w:eastAsia="方正小标宋简体" w:cs="方正小标宋简体"/>
          <w:b w:val="0"/>
          <w:i w:val="0"/>
          <w:caps w:val="0"/>
          <w:color w:val="212121"/>
          <w:spacing w:val="0"/>
          <w:sz w:val="44"/>
          <w:szCs w:val="44"/>
          <w:shd w:val="clear" w:color="080000" w:fill="FFFFFF"/>
          <w:lang w:val="en-US" w:eastAsia="zh-CN"/>
        </w:rPr>
      </w:pPr>
      <w:r>
        <w:rPr>
          <w:rFonts w:hint="eastAsia" w:ascii="方正小标宋简体" w:hAnsi="方正小标宋简体" w:eastAsia="方正小标宋简体" w:cs="方正小标宋简体"/>
          <w:b w:val="0"/>
          <w:i w:val="0"/>
          <w:caps w:val="0"/>
          <w:color w:val="212121"/>
          <w:spacing w:val="0"/>
          <w:sz w:val="44"/>
          <w:szCs w:val="44"/>
          <w:shd w:val="clear" w:color="080000" w:fill="FFFFFF"/>
          <w:lang w:eastAsia="zh-CN"/>
        </w:rPr>
        <w:t>井陉县</w:t>
      </w:r>
      <w:r>
        <w:rPr>
          <w:rFonts w:hint="eastAsia" w:ascii="方正小标宋简体" w:hAnsi="方正小标宋简体" w:eastAsia="方正小标宋简体" w:cs="方正小标宋简体"/>
          <w:b w:val="0"/>
          <w:i w:val="0"/>
          <w:caps w:val="0"/>
          <w:color w:val="212121"/>
          <w:spacing w:val="0"/>
          <w:sz w:val="44"/>
          <w:szCs w:val="44"/>
          <w:shd w:val="clear" w:color="080000" w:fill="FFFFFF"/>
          <w:lang w:val="en-US" w:eastAsia="zh-CN"/>
        </w:rPr>
        <w:t>南王庄乡人民政府</w:t>
      </w:r>
    </w:p>
    <w:p>
      <w:pPr>
        <w:widowControl w:val="0"/>
        <w:wordWrap/>
        <w:adjustRightInd/>
        <w:snapToGrid/>
        <w:spacing w:line="600" w:lineRule="exact"/>
        <w:jc w:val="center"/>
        <w:textAlignment w:val="auto"/>
        <w:rPr>
          <w:rFonts w:hint="eastAsia" w:ascii="方正小标宋简体" w:hAnsi="方正小标宋简体" w:eastAsia="方正小标宋简体" w:cs="方正小标宋简体"/>
          <w:b w:val="0"/>
          <w:i w:val="0"/>
          <w:caps w:val="0"/>
          <w:color w:val="212121"/>
          <w:spacing w:val="0"/>
          <w:sz w:val="44"/>
          <w:szCs w:val="44"/>
          <w:shd w:val="clear" w:color="080000" w:fill="FFFFFF"/>
        </w:rPr>
      </w:pPr>
      <w:r>
        <w:rPr>
          <w:rFonts w:hint="eastAsia" w:ascii="方正小标宋简体" w:hAnsi="方正小标宋简体" w:eastAsia="方正小标宋简体" w:cs="方正小标宋简体"/>
          <w:b w:val="0"/>
          <w:i w:val="0"/>
          <w:caps w:val="0"/>
          <w:color w:val="212121"/>
          <w:spacing w:val="0"/>
          <w:sz w:val="44"/>
          <w:szCs w:val="44"/>
          <w:shd w:val="clear" w:color="080000" w:fill="FFFFFF"/>
        </w:rPr>
        <w:t>202</w:t>
      </w:r>
      <w:r>
        <w:rPr>
          <w:rFonts w:hint="eastAsia" w:ascii="方正小标宋简体" w:hAnsi="方正小标宋简体" w:eastAsia="方正小标宋简体" w:cs="方正小标宋简体"/>
          <w:b w:val="0"/>
          <w:i w:val="0"/>
          <w:caps w:val="0"/>
          <w:color w:val="212121"/>
          <w:spacing w:val="0"/>
          <w:sz w:val="44"/>
          <w:szCs w:val="44"/>
          <w:shd w:val="clear" w:color="080000" w:fill="FFFFFF"/>
          <w:lang w:val="en-US" w:eastAsia="zh-CN"/>
        </w:rPr>
        <w:t>5</w:t>
      </w:r>
      <w:r>
        <w:rPr>
          <w:rFonts w:hint="eastAsia" w:ascii="方正小标宋简体" w:hAnsi="方正小标宋简体" w:eastAsia="方正小标宋简体" w:cs="方正小标宋简体"/>
          <w:b w:val="0"/>
          <w:i w:val="0"/>
          <w:caps w:val="0"/>
          <w:color w:val="212121"/>
          <w:spacing w:val="0"/>
          <w:sz w:val="44"/>
          <w:szCs w:val="44"/>
          <w:shd w:val="clear" w:color="080000" w:fill="FFFFFF"/>
        </w:rPr>
        <w:t>年政府信息公开工作年度报告</w:t>
      </w:r>
    </w:p>
    <w:p>
      <w:pPr>
        <w:widowControl w:val="0"/>
        <w:numPr>
          <w:ilvl w:val="0"/>
          <w:numId w:val="0"/>
        </w:numPr>
        <w:wordWrap/>
        <w:adjustRightInd/>
        <w:snapToGrid/>
        <w:spacing w:line="600" w:lineRule="exact"/>
        <w:ind w:firstLine="640" w:firstLine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p>
    <w:p>
      <w:pPr>
        <w:widowControl w:val="0"/>
        <w:numPr>
          <w:ilvl w:val="0"/>
          <w:numId w:val="0"/>
        </w:numPr>
        <w:wordWrap/>
        <w:adjustRightInd/>
        <w:snapToGrid/>
        <w:spacing w:line="600" w:lineRule="exact"/>
        <w:ind w:firstLine="640" w:firstLine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一、总体情况</w:t>
      </w:r>
    </w:p>
    <w:p>
      <w:pPr>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Cs/>
          <w:color w:val="000000"/>
          <w:sz w:val="32"/>
          <w:szCs w:val="32"/>
          <w:shd w:val="clear" w:color="auto" w:fill="FFFFFF"/>
          <w:lang w:val="en-US" w:eastAsia="zh-CN"/>
        </w:rPr>
      </w:pPr>
      <w:r>
        <w:rPr>
          <w:rFonts w:hint="eastAsia" w:ascii="方正仿宋简体" w:hAnsi="方正仿宋简体" w:eastAsia="方正仿宋简体" w:cs="方正仿宋简体"/>
          <w:bCs/>
          <w:color w:val="000000"/>
          <w:sz w:val="32"/>
          <w:szCs w:val="32"/>
          <w:shd w:val="clear" w:color="auto" w:fill="FFFFFF"/>
          <w:lang w:val="en-US" w:eastAsia="zh-CN"/>
        </w:rPr>
        <w:t>2025年以来，南王庄乡人民政府坚持以习近平新时代中国特色社会主义思想为指导，全面学习贯彻党的二十大精神和历次全会精神，全面推进政务公开工作，紧紧围绕乡政府中心工作，以“应公开尽公开”为原则，规范公开内容，创新公开形式，突出公开重点，稳步推进各项工作。现将有关情况报告如下：</w:t>
      </w:r>
    </w:p>
    <w:p>
      <w:pPr>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Cs/>
          <w:color w:val="000000"/>
          <w:sz w:val="32"/>
          <w:szCs w:val="32"/>
          <w:shd w:val="clear" w:color="auto" w:fill="FFFFFF"/>
          <w:lang w:val="en-US" w:eastAsia="zh-CN"/>
        </w:rPr>
      </w:pPr>
      <w:r>
        <w:rPr>
          <w:rFonts w:hint="eastAsia" w:ascii="方正仿宋简体" w:hAnsi="方正仿宋简体" w:eastAsia="方正仿宋简体" w:cs="方正仿宋简体"/>
          <w:bCs/>
          <w:color w:val="000000"/>
          <w:sz w:val="32"/>
          <w:szCs w:val="32"/>
          <w:shd w:val="clear" w:color="auto" w:fill="FFFFFF"/>
          <w:lang w:val="en-US" w:eastAsia="zh-CN"/>
        </w:rPr>
        <w:t>（一）主动公开：深入贯彻落实《中华人民共和国政府信息公开条例》，及时公开、公示政府信息，确保了权力在阳光下运行，充分发挥信息公开和政策宣传效应，扎实推进政府信息公开工作。</w:t>
      </w:r>
    </w:p>
    <w:p>
      <w:pPr>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Cs/>
          <w:color w:val="000000"/>
          <w:sz w:val="32"/>
          <w:szCs w:val="32"/>
          <w:shd w:val="clear" w:color="auto" w:fill="FFFFFF"/>
          <w:lang w:val="en-US" w:eastAsia="zh-CN"/>
        </w:rPr>
      </w:pPr>
      <w:r>
        <w:rPr>
          <w:rFonts w:hint="eastAsia" w:ascii="方正仿宋简体" w:hAnsi="方正仿宋简体" w:eastAsia="方正仿宋简体" w:cs="方正仿宋简体"/>
          <w:bCs/>
          <w:color w:val="000000"/>
          <w:sz w:val="32"/>
          <w:szCs w:val="32"/>
          <w:shd w:val="clear" w:color="auto" w:fill="FFFFFF"/>
          <w:lang w:val="en-US" w:eastAsia="zh-CN"/>
        </w:rPr>
        <w:t>（二）依申请公开：2025年度，我乡未收到政府信息公开申请件，没有发生因政务信息公开引发的行政复议或行政诉讼。</w:t>
      </w:r>
    </w:p>
    <w:p>
      <w:pPr>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Cs/>
          <w:color w:val="000000"/>
          <w:sz w:val="32"/>
          <w:szCs w:val="32"/>
          <w:shd w:val="clear" w:color="auto" w:fill="FFFFFF"/>
          <w:lang w:val="en-US" w:eastAsia="zh-CN"/>
        </w:rPr>
      </w:pPr>
      <w:r>
        <w:rPr>
          <w:rFonts w:hint="eastAsia" w:ascii="方正仿宋简体" w:hAnsi="方正仿宋简体" w:eastAsia="方正仿宋简体" w:cs="方正仿宋简体"/>
          <w:bCs/>
          <w:color w:val="000000"/>
          <w:sz w:val="32"/>
          <w:szCs w:val="32"/>
          <w:shd w:val="clear" w:color="auto" w:fill="FFFFFF"/>
          <w:lang w:val="en-US" w:eastAsia="zh-CN"/>
        </w:rPr>
        <w:t>（三）政府信息管理：我乡认真上级有关政务公开工作的相关要求，进一步深化和规范政府信息公开工作，明确由党政办公室负责政务信息公开工作，为政务公开工作提供了充分的组织保障。</w:t>
      </w:r>
    </w:p>
    <w:p>
      <w:pPr>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Cs/>
          <w:color w:val="000000"/>
          <w:sz w:val="32"/>
          <w:szCs w:val="32"/>
          <w:shd w:val="clear" w:color="auto" w:fill="FFFFFF"/>
          <w:lang w:val="en-US" w:eastAsia="zh-CN"/>
        </w:rPr>
      </w:pPr>
      <w:r>
        <w:rPr>
          <w:rFonts w:hint="eastAsia" w:ascii="方正仿宋简体" w:hAnsi="方正仿宋简体" w:eastAsia="方正仿宋简体" w:cs="方正仿宋简体"/>
          <w:bCs/>
          <w:color w:val="000000"/>
          <w:sz w:val="32"/>
          <w:szCs w:val="32"/>
          <w:shd w:val="clear" w:color="auto" w:fill="FFFFFF"/>
          <w:lang w:val="en-US" w:eastAsia="zh-CN"/>
        </w:rPr>
        <w:t xml:space="preserve">（四）监督保障：2025年，我乡定期对公开内容质量、可访问性及栏目更新情况进行检查，深入贯彻政府信息公开条例，建立健全相关制度，提升工作人员理论与业务能力，完善公开制度体系，不断增强信息公开工作实效。 </w:t>
      </w:r>
    </w:p>
    <w:p>
      <w:pPr>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Cs/>
          <w:color w:val="000000"/>
          <w:sz w:val="32"/>
          <w:szCs w:val="32"/>
          <w:shd w:val="clear" w:color="auto" w:fill="FFFFFF"/>
          <w:lang w:val="en-US" w:eastAsia="zh-CN"/>
        </w:rPr>
      </w:pPr>
      <w:r>
        <w:rPr>
          <w:rFonts w:hint="eastAsia" w:ascii="方正仿宋简体" w:hAnsi="方正仿宋简体" w:eastAsia="方正仿宋简体" w:cs="方正仿宋简体"/>
          <w:bCs/>
          <w:color w:val="000000"/>
          <w:sz w:val="32"/>
          <w:szCs w:val="32"/>
          <w:shd w:val="clear" w:color="auto" w:fill="FFFFFF"/>
          <w:lang w:val="en-US" w:eastAsia="zh-CN"/>
        </w:rPr>
        <w:t>2025年，全乡通过门户网站，依法依规、及时准确向社会公开各类政府信息。政府信息公开栏目发布信息65条。全年在省、市、县主流媒体发布7篇报道。全年收到0件“依申请公开”件，上年结转0件0，未发生因违法违规办理依申请公开导致行政复议或行政诉讼的情况。</w:t>
      </w:r>
    </w:p>
    <w:p>
      <w:pPr>
        <w:numPr>
          <w:ilvl w:val="0"/>
          <w:numId w:val="0"/>
        </w:numPr>
        <w:wordWrap/>
        <w:adjustRightInd/>
        <w:snapToGrid/>
        <w:spacing w:line="600" w:lineRule="exact"/>
        <w:ind w:leftChars="200" w:firstLine="320" w:firstLineChars="1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二、主动公开政府信息情况</w:t>
      </w:r>
    </w:p>
    <w:tbl>
      <w:tblPr>
        <w:tblStyle w:val="7"/>
        <w:tblW w:w="845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2130"/>
        <w:gridCol w:w="885"/>
        <w:gridCol w:w="165"/>
        <w:gridCol w:w="1740"/>
        <w:gridCol w:w="1485"/>
        <w:gridCol w:w="205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single" w:color="auto" w:sz="6" w:space="0"/>
              <w:left w:val="single" w:color="auto" w:sz="6" w:space="0"/>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第二十条第（一）项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1905" w:type="dxa"/>
            <w:gridSpan w:val="2"/>
            <w:tcBorders>
              <w:top w:val="single" w:color="auto" w:sz="6" w:space="0"/>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本年制发件数</w:t>
            </w:r>
          </w:p>
        </w:tc>
        <w:tc>
          <w:tcPr>
            <w:tcW w:w="1485" w:type="dxa"/>
            <w:tcBorders>
              <w:top w:val="single" w:color="auto" w:sz="6" w:space="0"/>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本年废止件数</w:t>
            </w:r>
          </w:p>
        </w:tc>
        <w:tc>
          <w:tcPr>
            <w:tcW w:w="2053" w:type="dxa"/>
            <w:tcBorders>
              <w:top w:val="single" w:color="auto" w:sz="6" w:space="0"/>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现行有效件数</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left"/>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规章</w:t>
            </w:r>
          </w:p>
        </w:tc>
        <w:tc>
          <w:tcPr>
            <w:tcW w:w="1905" w:type="dxa"/>
            <w:gridSpan w:val="2"/>
            <w:tcBorders>
              <w:top w:val="nil"/>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1485" w:type="dxa"/>
            <w:tcBorders>
              <w:top w:val="nil"/>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2053" w:type="dxa"/>
            <w:tcBorders>
              <w:top w:val="nil"/>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left"/>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规范性文件</w:t>
            </w:r>
          </w:p>
        </w:tc>
        <w:tc>
          <w:tcPr>
            <w:tcW w:w="1905" w:type="dxa"/>
            <w:gridSpan w:val="2"/>
            <w:tcBorders>
              <w:top w:val="nil"/>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1485" w:type="dxa"/>
            <w:tcBorders>
              <w:top w:val="nil"/>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2053" w:type="dxa"/>
            <w:tcBorders>
              <w:top w:val="nil"/>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第二十条第（五）项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180" w:type="dxa"/>
            <w:gridSpan w:val="3"/>
            <w:tcBorders>
              <w:top w:val="nil"/>
              <w:left w:val="single" w:color="auto" w:sz="6" w:space="0"/>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5278" w:type="dxa"/>
            <w:gridSpan w:val="3"/>
            <w:tcBorders>
              <w:top w:val="single" w:color="auto" w:sz="6" w:space="0"/>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本年处理决定数量</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17" w:hRule="atLeast"/>
        </w:trPr>
        <w:tc>
          <w:tcPr>
            <w:tcW w:w="3180" w:type="dxa"/>
            <w:gridSpan w:val="3"/>
            <w:tcBorders>
              <w:top w:val="nil"/>
              <w:left w:val="single" w:color="auto" w:sz="6" w:space="0"/>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left"/>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行政许可</w:t>
            </w:r>
          </w:p>
        </w:tc>
        <w:tc>
          <w:tcPr>
            <w:tcW w:w="5278" w:type="dxa"/>
            <w:gridSpan w:val="3"/>
            <w:tcBorders>
              <w:top w:val="nil"/>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70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第二十条第（六）项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6328" w:type="dxa"/>
            <w:gridSpan w:val="5"/>
            <w:tcBorders>
              <w:top w:val="single" w:color="auto" w:sz="6" w:space="0"/>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本年处理决定数量</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left"/>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行政处罚</w:t>
            </w:r>
          </w:p>
        </w:tc>
        <w:tc>
          <w:tcPr>
            <w:tcW w:w="6328" w:type="dxa"/>
            <w:gridSpan w:val="5"/>
            <w:tcBorders>
              <w:top w:val="nil"/>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5</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 w:hRule="atLeast"/>
        </w:trPr>
        <w:tc>
          <w:tcPr>
            <w:tcW w:w="2130" w:type="dxa"/>
            <w:tcBorders>
              <w:top w:val="nil"/>
              <w:left w:val="single" w:color="auto" w:sz="6" w:space="0"/>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left"/>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行政强制</w:t>
            </w:r>
          </w:p>
        </w:tc>
        <w:tc>
          <w:tcPr>
            <w:tcW w:w="6328" w:type="dxa"/>
            <w:gridSpan w:val="5"/>
            <w:tcBorders>
              <w:top w:val="nil"/>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第二十条第（八）项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4"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6328" w:type="dxa"/>
            <w:gridSpan w:val="5"/>
            <w:tcBorders>
              <w:top w:val="single" w:color="auto" w:sz="6" w:space="0"/>
              <w:left w:val="nil"/>
              <w:bottom w:val="single" w:color="auto" w:sz="4"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本年收费金额（单位：万元）</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left"/>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行政事业性收费</w:t>
            </w:r>
          </w:p>
        </w:tc>
        <w:tc>
          <w:tcPr>
            <w:tcW w:w="6328" w:type="dxa"/>
            <w:gridSpan w:val="5"/>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r>
    </w:tbl>
    <w:p>
      <w:pPr>
        <w:pStyle w:val="3"/>
        <w:wordWrap/>
        <w:adjustRightInd/>
        <w:snapToGrid/>
        <w:spacing w:line="600" w:lineRule="exact"/>
        <w:ind w:left="0" w:leftChars="0" w:firstLine="0" w:firstLineChars="0"/>
        <w:textAlignment w:val="auto"/>
        <w:rPr>
          <w:rFonts w:hint="eastAsia"/>
          <w:sz w:val="32"/>
          <w:szCs w:val="32"/>
          <w:lang w:val="en-US" w:eastAsia="zh-CN"/>
        </w:rPr>
      </w:pPr>
    </w:p>
    <w:p>
      <w:pPr>
        <w:numPr>
          <w:ilvl w:val="0"/>
          <w:numId w:val="0"/>
        </w:numPr>
        <w:wordWrap/>
        <w:adjustRightInd/>
        <w:snapToGrid/>
        <w:spacing w:line="600" w:lineRule="exact"/>
        <w:ind w:firstLine="640" w:firstLine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三、收到和处理政府信息公开申请情况</w:t>
      </w:r>
    </w:p>
    <w:tbl>
      <w:tblPr>
        <w:tblStyle w:val="7"/>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Layout w:type="fixed"/>
        <w:tblCellMar>
          <w:top w:w="15" w:type="dxa"/>
          <w:left w:w="15" w:type="dxa"/>
          <w:bottom w:w="15" w:type="dxa"/>
          <w:right w:w="15" w:type="dxa"/>
        </w:tblCellMar>
      </w:tblPr>
      <w:tblGrid>
        <w:gridCol w:w="716"/>
        <w:gridCol w:w="880"/>
        <w:gridCol w:w="2507"/>
        <w:gridCol w:w="785"/>
        <w:gridCol w:w="703"/>
        <w:gridCol w:w="703"/>
        <w:gridCol w:w="900"/>
        <w:gridCol w:w="900"/>
        <w:gridCol w:w="434"/>
        <w:gridCol w:w="54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PrEx>
        <w:trPr>
          <w:trHeight w:val="0" w:hRule="atLeast"/>
          <w:jc w:val="center"/>
        </w:trPr>
        <w:tc>
          <w:tcPr>
            <w:tcW w:w="4103" w:type="dxa"/>
            <w:gridSpan w:val="3"/>
            <w:vMerge w:val="restart"/>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（本列数据的勾稽关系为：第一项加第二项之和，等于第三项加第四项之和）</w:t>
            </w:r>
          </w:p>
        </w:tc>
        <w:tc>
          <w:tcPr>
            <w:tcW w:w="4968" w:type="dxa"/>
            <w:gridSpan w:val="7"/>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785" w:type="dxa"/>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自然人</w:t>
            </w:r>
          </w:p>
        </w:tc>
        <w:tc>
          <w:tcPr>
            <w:tcW w:w="3640" w:type="dxa"/>
            <w:gridSpan w:val="5"/>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785"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商业企业</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科研机构</w:t>
            </w:r>
          </w:p>
        </w:tc>
        <w:tc>
          <w:tcPr>
            <w:tcW w:w="900"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社会公益组织</w:t>
            </w:r>
          </w:p>
        </w:tc>
        <w:tc>
          <w:tcPr>
            <w:tcW w:w="900"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法律服务机构</w:t>
            </w:r>
          </w:p>
        </w:tc>
        <w:tc>
          <w:tcPr>
            <w:tcW w:w="434"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tc>
        <w:tc>
          <w:tcPr>
            <w:tcW w:w="543" w:type="dxa"/>
            <w:vMerge w:val="continue"/>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一、本年新收政府信息公开申请数量</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二、上年结转政府信息公开申请数量</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restar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三、本年度办理结果</w:t>
            </w:r>
          </w:p>
        </w:tc>
        <w:tc>
          <w:tcPr>
            <w:tcW w:w="3387"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（一）予已公开</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3387"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（二）部分公开（区分处理的，只计这一情形，不计其他情形）</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（三）</w:t>
            </w:r>
          </w:p>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不予</w:t>
            </w:r>
          </w:p>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公开</w:t>
            </w: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1.属于国家秘密</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numPr>
                <w:ilvl w:val="0"/>
                <w:numId w:val="1"/>
              </w:numPr>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其他法律行政法规禁止公开</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3.危及“三安全一稳定”</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9</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4.保护第三方合法权益</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5.属于三类内部事务信息</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6.属于四类过程性信息</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7.属于行政执法案卷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4"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4"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8.属于行政查询事项</w:t>
            </w:r>
          </w:p>
        </w:tc>
        <w:tc>
          <w:tcPr>
            <w:tcW w:w="785" w:type="dxa"/>
            <w:tcBorders>
              <w:top w:val="nil"/>
              <w:left w:val="nil"/>
              <w:bottom w:val="single" w:color="auto" w:sz="4"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4"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4"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4"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4"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4"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4"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（四）</w:t>
            </w:r>
          </w:p>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无法</w:t>
            </w:r>
          </w:p>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提供</w:t>
            </w:r>
          </w:p>
        </w:tc>
        <w:tc>
          <w:tcPr>
            <w:tcW w:w="2507"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pStyle w:val="6"/>
              <w:widowControl/>
              <w:numPr>
                <w:ilvl w:val="0"/>
                <w:numId w:val="2"/>
              </w:numPr>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本机关不掌握相关政府</w:t>
            </w:r>
          </w:p>
          <w:p>
            <w:pPr>
              <w:pStyle w:val="6"/>
              <w:widowControl/>
              <w:numPr>
                <w:ilvl w:val="0"/>
                <w:numId w:val="0"/>
              </w:numPr>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Chars="0" w:right="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w:t>
            </w:r>
          </w:p>
        </w:tc>
        <w:tc>
          <w:tcPr>
            <w:tcW w:w="785"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2.没有现成信息需要另行制作</w:t>
            </w:r>
          </w:p>
        </w:tc>
        <w:tc>
          <w:tcPr>
            <w:tcW w:w="785"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4"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single" w:color="auto" w:sz="4" w:space="0"/>
              <w:left w:val="single" w:color="auto" w:sz="4"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single" w:color="auto" w:sz="4"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3.补正后申请内容仍不明确</w:t>
            </w:r>
          </w:p>
        </w:tc>
        <w:tc>
          <w:tcPr>
            <w:tcW w:w="785" w:type="dxa"/>
            <w:tcBorders>
              <w:top w:val="single" w:color="auto" w:sz="4"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single" w:color="auto" w:sz="4"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single" w:color="auto" w:sz="4"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single" w:color="auto" w:sz="4"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single" w:color="auto" w:sz="4"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single" w:color="auto" w:sz="4"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4"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（五）</w:t>
            </w:r>
          </w:p>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不予</w:t>
            </w:r>
          </w:p>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处理</w:t>
            </w: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1.信访举报投诉类申请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2.重复申请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3.要求提供公开出版物</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4.无正当理由大量反复申请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5.要求行政机关确认或重新出具已获取信息</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restart"/>
            <w:tcBorders>
              <w:top w:val="nil"/>
              <w:left w:val="nil"/>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（六）</w:t>
            </w:r>
          </w:p>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处理</w:t>
            </w: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1.申请人无正当理由逾期不补正、行政机关不再处理其政府信息公开申请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left w:val="nil"/>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2.申请人逾期未按收费通知要求缴纳费用、行政机关不再处理其政府信息公开申请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3.其他</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324"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3387"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（七）总计</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四、结转下年度继续办理</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bl>
    <w:p>
      <w:pPr>
        <w:widowControl w:val="0"/>
        <w:numPr>
          <w:ilvl w:val="0"/>
          <w:numId w:val="0"/>
        </w:numPr>
        <w:wordWrap/>
        <w:adjustRightInd/>
        <w:snapToGrid/>
        <w:spacing w:line="600" w:lineRule="exact"/>
        <w:ind w:firstLine="640" w:firstLine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四、政府信息公开行政复议、行政诉讼情况</w:t>
      </w:r>
    </w:p>
    <w:tbl>
      <w:tblPr>
        <w:tblStyle w:val="7"/>
        <w:tblW w:w="8642"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540"/>
        <w:gridCol w:w="540"/>
        <w:gridCol w:w="495"/>
        <w:gridCol w:w="549"/>
        <w:gridCol w:w="548"/>
        <w:gridCol w:w="682"/>
        <w:gridCol w:w="600"/>
        <w:gridCol w:w="600"/>
        <w:gridCol w:w="600"/>
        <w:gridCol w:w="503"/>
        <w:gridCol w:w="712"/>
        <w:gridCol w:w="600"/>
        <w:gridCol w:w="600"/>
        <w:gridCol w:w="600"/>
        <w:gridCol w:w="47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2672" w:type="dxa"/>
            <w:gridSpan w:val="5"/>
            <w:tcBorders>
              <w:top w:val="single" w:color="auto" w:sz="6" w:space="0"/>
              <w:left w:val="single" w:color="auto" w:sz="6" w:space="0"/>
              <w:bottom w:val="single" w:color="auto" w:sz="4"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行政复议</w:t>
            </w:r>
          </w:p>
        </w:tc>
        <w:tc>
          <w:tcPr>
            <w:tcW w:w="5970" w:type="dxa"/>
            <w:gridSpan w:val="10"/>
            <w:tcBorders>
              <w:top w:val="single" w:color="auto" w:sz="6" w:space="0"/>
              <w:left w:val="nil"/>
              <w:bottom w:val="single" w:color="auto" w:sz="4"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40" w:type="dxa"/>
            <w:vMerge w:val="restart"/>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结果维持</w:t>
            </w:r>
          </w:p>
        </w:tc>
        <w:tc>
          <w:tcPr>
            <w:tcW w:w="540" w:type="dxa"/>
            <w:vMerge w:val="restart"/>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结果纠正</w:t>
            </w:r>
          </w:p>
        </w:tc>
        <w:tc>
          <w:tcPr>
            <w:tcW w:w="495" w:type="dxa"/>
            <w:vMerge w:val="restart"/>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其他结果</w:t>
            </w:r>
          </w:p>
        </w:tc>
        <w:tc>
          <w:tcPr>
            <w:tcW w:w="549" w:type="dxa"/>
            <w:vMerge w:val="restart"/>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尚未审结</w:t>
            </w:r>
          </w:p>
        </w:tc>
        <w:tc>
          <w:tcPr>
            <w:tcW w:w="548" w:type="dxa"/>
            <w:vMerge w:val="restart"/>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c>
          <w:tcPr>
            <w:tcW w:w="2985" w:type="dxa"/>
            <w:gridSpan w:val="5"/>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未经复议直接起诉</w:t>
            </w:r>
          </w:p>
        </w:tc>
        <w:tc>
          <w:tcPr>
            <w:tcW w:w="2985" w:type="dxa"/>
            <w:gridSpan w:val="5"/>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540" w:type="dxa"/>
            <w:vMerge w:val="continue"/>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495" w:type="dxa"/>
            <w:vMerge w:val="continue"/>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549" w:type="dxa"/>
            <w:vMerge w:val="continue"/>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548" w:type="dxa"/>
            <w:vMerge w:val="continue"/>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682" w:type="dxa"/>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维持</w:t>
            </w:r>
          </w:p>
        </w:tc>
        <w:tc>
          <w:tcPr>
            <w:tcW w:w="600" w:type="dxa"/>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纠正</w:t>
            </w:r>
          </w:p>
        </w:tc>
        <w:tc>
          <w:tcPr>
            <w:tcW w:w="600" w:type="dxa"/>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tc>
        <w:tc>
          <w:tcPr>
            <w:tcW w:w="600" w:type="dxa"/>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w:t>
            </w:r>
          </w:p>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审结</w:t>
            </w:r>
          </w:p>
        </w:tc>
        <w:tc>
          <w:tcPr>
            <w:tcW w:w="503" w:type="dxa"/>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c>
          <w:tcPr>
            <w:tcW w:w="712" w:type="dxa"/>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维持</w:t>
            </w:r>
          </w:p>
        </w:tc>
        <w:tc>
          <w:tcPr>
            <w:tcW w:w="600" w:type="dxa"/>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纠正</w:t>
            </w:r>
          </w:p>
        </w:tc>
        <w:tc>
          <w:tcPr>
            <w:tcW w:w="600" w:type="dxa"/>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tc>
        <w:tc>
          <w:tcPr>
            <w:tcW w:w="600" w:type="dxa"/>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w:t>
            </w:r>
          </w:p>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审结</w:t>
            </w:r>
          </w:p>
        </w:tc>
        <w:tc>
          <w:tcPr>
            <w:tcW w:w="473" w:type="dxa"/>
            <w:tcBorders>
              <w:top w:val="single" w:color="auto" w:sz="4" w:space="0"/>
              <w:left w:val="single" w:color="auto" w:sz="4" w:space="0"/>
              <w:bottom w:val="single" w:color="auto" w:sz="4" w:space="0"/>
              <w:right w:val="single" w:color="auto" w:sz="4"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40" w:type="dxa"/>
            <w:tcBorders>
              <w:top w:val="single" w:color="auto" w:sz="4" w:space="0"/>
              <w:left w:val="single" w:color="auto" w:sz="6" w:space="0"/>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540" w:type="dxa"/>
            <w:tcBorders>
              <w:top w:val="single" w:color="auto" w:sz="4" w:space="0"/>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495" w:type="dxa"/>
            <w:tcBorders>
              <w:top w:val="single" w:color="auto" w:sz="4" w:space="0"/>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9" w:type="dxa"/>
            <w:tcBorders>
              <w:top w:val="single" w:color="auto" w:sz="4" w:space="0"/>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8" w:type="dxa"/>
            <w:tcBorders>
              <w:top w:val="single" w:color="auto" w:sz="4" w:space="0"/>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682" w:type="dxa"/>
            <w:tcBorders>
              <w:top w:val="single" w:color="auto" w:sz="4" w:space="0"/>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single" w:color="auto" w:sz="4" w:space="0"/>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cs="宋体"/>
                <w:sz w:val="18"/>
                <w:szCs w:val="18"/>
                <w:lang w:val="en-US" w:eastAsia="zh-CN"/>
              </w:rPr>
              <w:t>0</w:t>
            </w:r>
          </w:p>
        </w:tc>
        <w:tc>
          <w:tcPr>
            <w:tcW w:w="600" w:type="dxa"/>
            <w:tcBorders>
              <w:top w:val="single" w:color="auto" w:sz="4" w:space="0"/>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600" w:type="dxa"/>
            <w:tcBorders>
              <w:top w:val="single" w:color="auto" w:sz="4" w:space="0"/>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503" w:type="dxa"/>
            <w:tcBorders>
              <w:top w:val="single" w:color="auto" w:sz="4" w:space="0"/>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12" w:type="dxa"/>
            <w:tcBorders>
              <w:top w:val="single" w:color="auto" w:sz="4" w:space="0"/>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single" w:color="auto" w:sz="4" w:space="0"/>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single" w:color="auto" w:sz="4" w:space="0"/>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single" w:color="auto" w:sz="4" w:space="0"/>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73" w:type="dxa"/>
            <w:tcBorders>
              <w:top w:val="single" w:color="auto" w:sz="4" w:space="0"/>
              <w:left w:val="nil"/>
              <w:bottom w:val="single" w:color="auto" w:sz="6" w:space="0"/>
              <w:right w:val="single" w:color="auto" w:sz="6" w:space="0"/>
            </w:tcBorders>
            <w:vAlign w:val="center"/>
          </w:tcPr>
          <w:p>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bl>
    <w:p>
      <w:pPr>
        <w:widowControl w:val="0"/>
        <w:numPr>
          <w:ilvl w:val="0"/>
          <w:numId w:val="0"/>
        </w:numPr>
        <w:wordWrap/>
        <w:adjustRightInd/>
        <w:snapToGrid/>
        <w:spacing w:line="600" w:lineRule="exact"/>
        <w:ind w:firstLine="640" w:firstLine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五、存在的问题及改进情况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20" w:firstLineChars="200"/>
        <w:textAlignment w:val="auto"/>
        <w:rPr>
          <w:rFonts w:hint="eastAsia" w:ascii="方正仿宋简体" w:hAnsi="方正仿宋简体" w:eastAsia="方正仿宋简体" w:cs="方正仿宋简体"/>
          <w:b w:val="0"/>
          <w:bCs w:val="0"/>
          <w:i w:val="0"/>
          <w:iCs w:val="0"/>
          <w:caps w:val="0"/>
          <w:color w:val="000000" w:themeColor="text1"/>
          <w:spacing w:val="0"/>
          <w:sz w:val="31"/>
          <w:szCs w:val="31"/>
          <w:shd w:val="clear" w:fill="FFFFFF"/>
          <w:lang w:val="en-US" w:eastAsia="zh-CN"/>
          <w14:textFill>
            <w14:solidFill>
              <w14:schemeClr w14:val="tx1"/>
            </w14:solidFill>
          </w14:textFill>
        </w:rPr>
      </w:pPr>
      <w:r>
        <w:rPr>
          <w:rFonts w:hint="eastAsia" w:ascii="方正仿宋简体" w:hAnsi="方正仿宋简体" w:eastAsia="方正仿宋简体" w:cs="方正仿宋简体"/>
          <w:b w:val="0"/>
          <w:bCs w:val="0"/>
          <w:i w:val="0"/>
          <w:iCs w:val="0"/>
          <w:caps w:val="0"/>
          <w:color w:val="000000" w:themeColor="text1"/>
          <w:spacing w:val="0"/>
          <w:sz w:val="31"/>
          <w:szCs w:val="31"/>
          <w:shd w:val="clear" w:fill="FFFFFF"/>
          <w:lang w:val="en-US" w:eastAsia="zh-CN"/>
          <w14:textFill>
            <w14:solidFill>
              <w14:schemeClr w14:val="tx1"/>
            </w14:solidFill>
          </w14:textFill>
        </w:rPr>
        <w:t>存在问题：一是需进一步探索和研究政务信息公开工作中不断出现的新情况、新问题，建立长效的工作新机制。二是部分领域公开内容不够深入，政策解读形式较为单一。</w:t>
      </w:r>
    </w:p>
    <w:p>
      <w:pPr>
        <w:pStyle w:val="2"/>
        <w:keepNext w:val="0"/>
        <w:keepLines w:val="0"/>
        <w:pageBreakBefore w:val="0"/>
        <w:widowControl w:val="0"/>
        <w:kinsoku/>
        <w:wordWrap/>
        <w:overflowPunct/>
        <w:topLinePunct w:val="0"/>
        <w:autoSpaceDE/>
        <w:autoSpaceDN/>
        <w:bidi w:val="0"/>
        <w:adjustRightInd/>
        <w:snapToGrid/>
        <w:spacing w:before="0" w:after="0" w:line="560" w:lineRule="exact"/>
        <w:ind w:leftChars="0" w:firstLine="640" w:firstLineChars="200"/>
        <w:jc w:val="both"/>
        <w:textAlignment w:val="auto"/>
        <w:rPr>
          <w:rFonts w:hint="default" w:ascii="方正仿宋简体" w:hAnsi="方正仿宋简体" w:eastAsia="方正仿宋简体" w:cs="方正仿宋简体"/>
          <w:b w:val="0"/>
          <w:bCs w:val="0"/>
          <w:lang w:val="en-US" w:eastAsia="zh-CN"/>
        </w:rPr>
      </w:pPr>
      <w:r>
        <w:rPr>
          <w:rFonts w:hint="eastAsia" w:ascii="方正仿宋简体" w:hAnsi="方正仿宋简体" w:eastAsia="方正仿宋简体" w:cs="方正仿宋简体"/>
          <w:b w:val="0"/>
          <w:bCs w:val="0"/>
          <w:lang w:val="en-US" w:eastAsia="zh-CN"/>
        </w:rPr>
        <w:t>改进措施：一是在乡村振兴、生态环境、医疗卫生、城乡建设、社会保障等群众关切领域，加大政策发布与解读力度，提升信息可读性和实用性。二是根据新时代工作要求，持续完善信息公开审查制度，确保政府信息公开工作制度化、规范化，深入、持续、高效地开展政府信息公开工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六、其他需要报告的事项</w:t>
      </w:r>
      <w:bookmarkStart w:id="0" w:name="_GoBack"/>
      <w:bookmarkEnd w:id="0"/>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无</w:t>
      </w:r>
    </w:p>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方正黑体简体">
    <w:panose1 w:val="02000000000000000000"/>
    <w:charset w:val="86"/>
    <w:family w:val="auto"/>
    <w:pitch w:val="default"/>
    <w:sig w:usb0="A00002BF" w:usb1="184F6CFA" w:usb2="00000012" w:usb3="00000000" w:csb0="00040001" w:csb1="00000000"/>
  </w:font>
  <w:font w:name="方正仿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Calibri" w:hAnsi="Calibri" w:eastAsia="宋体" w:cs="黑体"/>
        <w:kern w:val="2"/>
        <w:sz w:val="18"/>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pPr>
                            <w:pStyle w:val="4"/>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wrap="none" lIns="0" tIns="0" rIns="0" bIns="0" upright="1">
                      <a:spAutoFit/>
                    </wps:bodyPr>
                  </wps:wsp>
                </a:graphicData>
              </a:graphic>
            </wp:anchor>
          </w:drawing>
        </mc:Choice>
        <mc:Fallback>
          <w:pict>
            <v:rect id="文本框 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5rnJjDAQAAjwMAAA4AAABkcnMvZTJvRG9jLnhtbK1TS27bMBDdF+gd&#10;CO5ryV4UhmA5KGAkCFC0AdIegKYoiwB/mKEt+QLtDbrqpvuey+fokJKcNN1k0Y00Mxy9ee9xtLkZ&#10;rGEnBai9q/lyUXKmnPSNdoeaf/1y+27NGUbhGmG8UzU/K+Q327dvNn2o1Mp33jQKGIE4rPpQ8y7G&#10;UBUFyk5ZgQsflKPD1oMVkVI4FA2IntCtKVZl+b7oPTQBvFSIVN2Nh3xChNcA+rbVUu28PFrl4ogK&#10;yohIkrDTAfk2s21bJePntkUVmak5KY35SUMo3qdnsd2I6gAidFpOFMRrKLzQZIV2NPQKtRNRsCPo&#10;f6CsluDRt3EhvS1GIdkRUrEsX3jz2ImgshayGsPVdPx/sPLT6QGYbmgTOHPC0oVffny//Px9+fWN&#10;LZM9fcCKuh7DA0wZUpi0Di3Y9CYVbMiWnq+WqiEyScXlerVel+S2pLM5IZzi6fMAGO+UtywFNQe6&#10;s2ylOH3EOLbOLWma87faGKqLyri/CoSZKkViPHJMURz2w0R875szqe3pumvuaLs5M/eO3EybMQcw&#10;B/s5OAbQh46oLTMvDB+OkUhkbmnCCDsNpnvK6qadSovwPM9dT//R9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5dblS0AAAAAUBAAAPAAAAAAAAAAEAIAAAACIAAABkcnMvZG93bnJldi54bWxQSwEC&#10;FAAUAAAACACHTuJAfmucmMMBAACPAwAADgAAAAAAAAABACAAAAAfAQAAZHJzL2Uyb0RvYy54bWxQ&#10;SwUGAAAAAAYABgBZAQAAVAUAAAAA&#10;">
              <v:fill on="f" focussize="0,0"/>
              <v:stroke on="f"/>
              <v:imagedata o:title=""/>
              <o:lock v:ext="edit" aspectratio="f"/>
              <v:textbox inset="0mm,0mm,0mm,0mm" style="mso-fit-shape-to-text:t;">
                <w:txbxContent>
                  <w:p>
                    <w:pPr>
                      <w:pStyle w:val="4"/>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5F8BD0"/>
    <w:multiLevelType w:val="singleLevel"/>
    <w:tmpl w:val="995F8BD0"/>
    <w:lvl w:ilvl="0" w:tentative="0">
      <w:start w:val="2"/>
      <w:numFmt w:val="decimal"/>
      <w:lvlText w:val="%1."/>
      <w:lvlJc w:val="left"/>
      <w:pPr>
        <w:tabs>
          <w:tab w:val="left" w:pos="312"/>
        </w:tabs>
      </w:pPr>
    </w:lvl>
  </w:abstractNum>
  <w:abstractNum w:abstractNumId="1">
    <w:nsid w:val="DC16339F"/>
    <w:multiLevelType w:val="singleLevel"/>
    <w:tmpl w:val="DC16339F"/>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NlYjhkODkzODVhZDQxZTIyOGFkZGVhMzBkNTUzZmEifQ=="/>
  </w:docVars>
  <w:rsids>
    <w:rsidRoot w:val="00000000"/>
    <w:rsid w:val="073548D0"/>
    <w:rsid w:val="10566D4D"/>
    <w:rsid w:val="1F096462"/>
    <w:rsid w:val="218D50D2"/>
    <w:rsid w:val="2494563C"/>
    <w:rsid w:val="3FEE7877"/>
    <w:rsid w:val="4A0752A0"/>
    <w:rsid w:val="53726E2D"/>
    <w:rsid w:val="56792596"/>
    <w:rsid w:val="5D3275F6"/>
    <w:rsid w:val="5E2B2E69"/>
    <w:rsid w:val="67FE4C0F"/>
    <w:rsid w:val="72B72B2B"/>
    <w:rsid w:val="795C2DB9"/>
    <w:rsid w:val="797B0139"/>
    <w:rsid w:val="7A57424F"/>
    <w:rsid w:val="7C7A4A7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pPr>
    <w:rPr>
      <w:rFonts w:ascii="等线 Light" w:hAnsi="等线 Light" w:eastAsia="等线 Light" w:cs="Times New Roman"/>
      <w:b/>
      <w:bCs/>
      <w:sz w:val="32"/>
      <w:szCs w:val="32"/>
    </w:rPr>
  </w:style>
  <w:style w:type="paragraph" w:styleId="3">
    <w:name w:val="Normal Indent"/>
    <w:basedOn w:val="1"/>
    <w:qFormat/>
    <w:uiPriority w:val="0"/>
    <w:pPr>
      <w:ind w:firstLine="420" w:firstLine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rPr>
  </w:style>
  <w:style w:type="character" w:styleId="9">
    <w:name w:val="Hyperlink"/>
    <w:basedOn w:val="8"/>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1250</Words>
  <Characters>1280</Characters>
  <Lines>0</Lines>
  <Paragraphs>0</Paragraphs>
  <TotalTime>137</TotalTime>
  <ScaleCrop>false</ScaleCrop>
  <LinksUpToDate>false</LinksUpToDate>
  <CharactersWithSpaces>1280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2022-01-10T06:25:00Z</dcterms:created>
  <dc:creator>lenovo</dc:creator>
  <cp:lastModifiedBy>Administrator</cp:lastModifiedBy>
  <cp:lastPrinted>2022-03-04T01:23:00Z</cp:lastPrinted>
  <dcterms:modified xsi:type="dcterms:W3CDTF">2026-01-16T07:57:33Z</dcterms:modified>
  <dc:title>井陉县人民政府办公室</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8AF8E08F753F4C42810C5260ACBA1363_13</vt:lpwstr>
  </property>
  <property fmtid="{D5CDD505-2E9C-101B-9397-08002B2CF9AE}" pid="4" name="KSOTemplateDocerSaveRecord">
    <vt:lpwstr>eyJoZGlkIjoiZWM1YzI1OTQxN2JlNzBkNTc5NTUyMDM0MTNjMjdjNWMifQ==</vt:lpwstr>
  </property>
</Properties>
</file>