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18336">
      <w:pPr>
        <w:keepNext w:val="0"/>
        <w:keepLines w:val="0"/>
        <w:pageBreakBefore w:val="0"/>
        <w:widowControl w:val="0"/>
        <w:kinsoku/>
        <w:wordWrap/>
        <w:overflowPunct/>
        <w:topLinePunct w:val="0"/>
        <w:autoSpaceDN/>
        <w:bidi w:val="0"/>
        <w:adjustRightInd/>
        <w:snapToGrid/>
        <w:spacing w:line="600" w:lineRule="exact"/>
        <w:jc w:val="center"/>
        <w:textAlignment w:val="auto"/>
        <w:rPr>
          <w:rFonts w:hint="eastAsia" w:ascii="方正小标宋简体" w:hAnsi="方正小标宋简体" w:eastAsia="方正小标宋简体" w:cs="方正小标宋简体"/>
          <w:b w:val="0"/>
          <w:i w:val="0"/>
          <w:caps w:val="0"/>
          <w:color w:val="212121"/>
          <w:spacing w:val="0"/>
          <w:sz w:val="44"/>
          <w:szCs w:val="44"/>
          <w:shd w:val="clear" w:color="080000" w:fill="FFFFFF"/>
          <w:lang w:val="en-US" w:eastAsia="zh-CN"/>
        </w:rPr>
      </w:pPr>
      <w:r>
        <w:rPr>
          <w:rFonts w:hint="eastAsia" w:ascii="方正小标宋简体" w:hAnsi="方正小标宋简体" w:eastAsia="方正小标宋简体" w:cs="方正小标宋简体"/>
          <w:b w:val="0"/>
          <w:i w:val="0"/>
          <w:caps w:val="0"/>
          <w:color w:val="212121"/>
          <w:spacing w:val="0"/>
          <w:sz w:val="44"/>
          <w:szCs w:val="44"/>
          <w:shd w:val="clear" w:color="080000" w:fill="FFFFFF"/>
          <w:lang w:eastAsia="zh-CN"/>
        </w:rPr>
        <w:t>井陉县</w:t>
      </w:r>
      <w:r>
        <w:rPr>
          <w:rFonts w:hint="eastAsia" w:ascii="方正小标宋简体" w:hAnsi="方正小标宋简体" w:eastAsia="方正小标宋简体" w:cs="方正小标宋简体"/>
          <w:b w:val="0"/>
          <w:i w:val="0"/>
          <w:caps w:val="0"/>
          <w:color w:val="212121"/>
          <w:spacing w:val="0"/>
          <w:sz w:val="44"/>
          <w:szCs w:val="44"/>
          <w:shd w:val="clear" w:color="080000" w:fill="FFFFFF"/>
          <w:lang w:val="en-US" w:eastAsia="zh-CN"/>
        </w:rPr>
        <w:t>卫生健康局</w:t>
      </w:r>
    </w:p>
    <w:p w14:paraId="2DC00AFC">
      <w:pPr>
        <w:keepNext w:val="0"/>
        <w:keepLines w:val="0"/>
        <w:pageBreakBefore w:val="0"/>
        <w:widowControl w:val="0"/>
        <w:kinsoku/>
        <w:wordWrap/>
        <w:overflowPunct/>
        <w:topLinePunct w:val="0"/>
        <w:autoSpaceDN/>
        <w:bidi w:val="0"/>
        <w:adjustRightInd/>
        <w:snapToGrid/>
        <w:spacing w:line="600" w:lineRule="exact"/>
        <w:jc w:val="center"/>
        <w:textAlignment w:val="auto"/>
        <w:rPr>
          <w:rFonts w:hint="eastAsia" w:ascii="方正小标宋简体" w:hAnsi="方正小标宋简体" w:eastAsia="方正小标宋简体" w:cs="方正小标宋简体"/>
          <w:b w:val="0"/>
          <w:i w:val="0"/>
          <w:caps w:val="0"/>
          <w:color w:val="212121"/>
          <w:spacing w:val="0"/>
          <w:sz w:val="44"/>
          <w:szCs w:val="44"/>
          <w:shd w:val="clear" w:color="080000" w:fill="FFFFFF"/>
        </w:rPr>
      </w:pPr>
      <w:r>
        <w:rPr>
          <w:rFonts w:hint="eastAsia" w:ascii="方正小标宋简体" w:hAnsi="方正小标宋简体" w:eastAsia="方正小标宋简体" w:cs="方正小标宋简体"/>
          <w:b w:val="0"/>
          <w:i w:val="0"/>
          <w:caps w:val="0"/>
          <w:color w:val="212121"/>
          <w:spacing w:val="0"/>
          <w:sz w:val="44"/>
          <w:szCs w:val="44"/>
          <w:shd w:val="clear" w:color="080000" w:fill="FFFFFF"/>
        </w:rPr>
        <w:t>202</w:t>
      </w:r>
      <w:r>
        <w:rPr>
          <w:rFonts w:hint="eastAsia" w:ascii="方正小标宋简体" w:hAnsi="方正小标宋简体" w:eastAsia="方正小标宋简体" w:cs="方正小标宋简体"/>
          <w:b w:val="0"/>
          <w:i w:val="0"/>
          <w:caps w:val="0"/>
          <w:color w:val="212121"/>
          <w:spacing w:val="0"/>
          <w:sz w:val="44"/>
          <w:szCs w:val="44"/>
          <w:shd w:val="clear" w:color="080000" w:fill="FFFFFF"/>
          <w:lang w:val="en-US" w:eastAsia="zh-CN"/>
        </w:rPr>
        <w:t>5</w:t>
      </w:r>
      <w:r>
        <w:rPr>
          <w:rFonts w:hint="eastAsia" w:ascii="方正小标宋简体" w:hAnsi="方正小标宋简体" w:eastAsia="方正小标宋简体" w:cs="方正小标宋简体"/>
          <w:b w:val="0"/>
          <w:i w:val="0"/>
          <w:caps w:val="0"/>
          <w:color w:val="212121"/>
          <w:spacing w:val="0"/>
          <w:sz w:val="44"/>
          <w:szCs w:val="44"/>
          <w:shd w:val="clear" w:color="080000" w:fill="FFFFFF"/>
        </w:rPr>
        <w:t>年政府信息公开工作年度报告</w:t>
      </w:r>
    </w:p>
    <w:p w14:paraId="7E1B2412">
      <w:pPr>
        <w:keepNext w:val="0"/>
        <w:keepLines w:val="0"/>
        <w:pageBreakBefore w:val="0"/>
        <w:widowControl w:val="0"/>
        <w:numPr>
          <w:ilvl w:val="0"/>
          <w:numId w:val="0"/>
        </w:numPr>
        <w:kinsoku/>
        <w:wordWrap/>
        <w:overflowPunct/>
        <w:topLinePunct w:val="0"/>
        <w:autoSpaceDN/>
        <w:bidi w:val="0"/>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p>
    <w:p w14:paraId="3529D7BF">
      <w:pPr>
        <w:keepNext w:val="0"/>
        <w:keepLines w:val="0"/>
        <w:pageBreakBefore w:val="0"/>
        <w:widowControl w:val="0"/>
        <w:numPr>
          <w:ilvl w:val="0"/>
          <w:numId w:val="0"/>
        </w:numPr>
        <w:kinsoku/>
        <w:wordWrap/>
        <w:overflowPunct/>
        <w:topLinePunct w:val="0"/>
        <w:autoSpaceDN/>
        <w:bidi w:val="0"/>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一、总体情况</w:t>
      </w:r>
    </w:p>
    <w:p w14:paraId="47F4C6DF">
      <w:pPr>
        <w:keepNext w:val="0"/>
        <w:keepLines w:val="0"/>
        <w:pageBreakBefore w:val="0"/>
        <w:widowControl/>
        <w:suppressLineNumbers w:val="0"/>
        <w:kinsoku/>
        <w:wordWrap/>
        <w:overflowPunct/>
        <w:topLinePunct w:val="0"/>
        <w:autoSpaceDE w:val="0"/>
        <w:autoSpaceDN/>
        <w:bidi w:val="0"/>
        <w:adjustRightInd/>
        <w:snapToGrid/>
        <w:spacing w:beforeAutospacing="0" w:afterAutospacing="0" w:line="600" w:lineRule="exact"/>
        <w:ind w:left="0" w:right="0" w:firstLine="640"/>
        <w:jc w:val="both"/>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color w:val="000000"/>
          <w:kern w:val="0"/>
          <w:sz w:val="32"/>
          <w:szCs w:val="32"/>
          <w:lang w:val="en-US" w:eastAsia="zh-CN" w:bidi="ar"/>
        </w:rPr>
        <w:t>2025年我局认真贯彻国家和省市县关于政务公开和政府信息公开的有关要求，继续执行《条例》和《规定》，坚持依法行政，深化信息公开，不断增强卫健工作透明度，依法推进政府信息公开工作，健全信息发布制度，加强突发公共卫生事件信息发布，完善卫健行政许可受理审批，积极推进医疗卫生服务工作信息公开，有效促进了卫健系统的信息公开工作。</w:t>
      </w:r>
    </w:p>
    <w:p w14:paraId="71C0AA8E">
      <w:pPr>
        <w:keepNext w:val="0"/>
        <w:keepLines w:val="0"/>
        <w:pageBreakBefore w:val="0"/>
        <w:widowControl/>
        <w:suppressLineNumbers w:val="0"/>
        <w:kinsoku/>
        <w:wordWrap/>
        <w:overflowPunct/>
        <w:topLinePunct w:val="0"/>
        <w:autoSpaceDE w:val="0"/>
        <w:autoSpaceDN/>
        <w:bidi w:val="0"/>
        <w:adjustRightInd/>
        <w:snapToGrid/>
        <w:spacing w:beforeAutospacing="0" w:afterAutospacing="0" w:line="600" w:lineRule="exact"/>
        <w:ind w:left="0" w:right="0" w:firstLine="640"/>
        <w:jc w:val="both"/>
        <w:textAlignment w:val="auto"/>
        <w:rPr>
          <w:rFonts w:hint="eastAsia" w:ascii="方正仿宋简体" w:hAnsi="方正仿宋简体" w:eastAsia="方正仿宋简体" w:cs="方正仿宋简体"/>
          <w:color w:val="000000"/>
          <w:kern w:val="0"/>
          <w:sz w:val="32"/>
          <w:szCs w:val="32"/>
          <w:lang w:val="en-US" w:eastAsia="zh-CN" w:bidi="ar"/>
        </w:rPr>
      </w:pPr>
      <w:r>
        <w:rPr>
          <w:rFonts w:hint="eastAsia" w:ascii="方正楷体简体" w:hAnsi="方正楷体简体" w:eastAsia="方正楷体简体" w:cs="方正楷体简体"/>
          <w:b/>
          <w:bCs/>
          <w:color w:val="000000"/>
          <w:kern w:val="0"/>
          <w:sz w:val="32"/>
          <w:szCs w:val="32"/>
          <w:lang w:val="en-US" w:eastAsia="zh-CN" w:bidi="ar"/>
        </w:rPr>
        <w:t>（一）加强领导，统筹安排部署各项工作。</w:t>
      </w:r>
      <w:r>
        <w:rPr>
          <w:rFonts w:hint="eastAsia" w:ascii="方正仿宋简体" w:hAnsi="方正仿宋简体" w:eastAsia="方正仿宋简体" w:cs="方正仿宋简体"/>
          <w:color w:val="000000"/>
          <w:kern w:val="0"/>
          <w:sz w:val="32"/>
          <w:szCs w:val="32"/>
          <w:lang w:val="en-US" w:eastAsia="zh-CN" w:bidi="ar"/>
        </w:rPr>
        <w:t>我局成立了政务公开工作领导小组，对政务公开工作落实了专人负责，并进一步完善了政务公开各项制度，确保政府信息公开工作持续良好开展。坚持考核评估，强化监督，健全完善监督机制，使我局政务信息公开工作进一步规范化、制度化。</w:t>
      </w:r>
    </w:p>
    <w:p w14:paraId="0044972A">
      <w:pPr>
        <w:keepNext w:val="0"/>
        <w:keepLines w:val="0"/>
        <w:pageBreakBefore w:val="0"/>
        <w:widowControl/>
        <w:suppressLineNumbers w:val="0"/>
        <w:kinsoku/>
        <w:wordWrap/>
        <w:overflowPunct/>
        <w:topLinePunct w:val="0"/>
        <w:autoSpaceDE w:val="0"/>
        <w:autoSpaceDN/>
        <w:bidi w:val="0"/>
        <w:adjustRightInd/>
        <w:snapToGrid/>
        <w:spacing w:beforeAutospacing="0" w:afterAutospacing="0" w:line="600" w:lineRule="exact"/>
        <w:ind w:left="0" w:right="0" w:firstLine="640"/>
        <w:jc w:val="both"/>
        <w:textAlignment w:val="auto"/>
        <w:rPr>
          <w:rFonts w:hint="eastAsia" w:ascii="方正仿宋简体" w:hAnsi="方正仿宋简体" w:eastAsia="方正仿宋简体" w:cs="方正仿宋简体"/>
          <w:color w:val="000000"/>
          <w:kern w:val="0"/>
          <w:sz w:val="32"/>
          <w:szCs w:val="32"/>
          <w:lang w:val="en-US" w:eastAsia="zh-CN" w:bidi="ar"/>
        </w:rPr>
      </w:pPr>
      <w:r>
        <w:rPr>
          <w:rFonts w:hint="eastAsia" w:ascii="方正楷体简体" w:hAnsi="方正楷体简体" w:eastAsia="方正楷体简体" w:cs="方正楷体简体"/>
          <w:b/>
          <w:bCs/>
          <w:color w:val="000000"/>
          <w:kern w:val="0"/>
          <w:sz w:val="32"/>
          <w:szCs w:val="32"/>
          <w:lang w:val="en-US" w:eastAsia="zh-CN" w:bidi="ar"/>
        </w:rPr>
        <w:t>（二）落实责任，推动公开工作有序开展。</w:t>
      </w:r>
      <w:r>
        <w:rPr>
          <w:rFonts w:hint="eastAsia" w:ascii="方正仿宋简体" w:hAnsi="方正仿宋简体" w:eastAsia="方正仿宋简体" w:cs="方正仿宋简体"/>
          <w:color w:val="000000"/>
          <w:kern w:val="0"/>
          <w:sz w:val="32"/>
          <w:szCs w:val="32"/>
          <w:lang w:val="en-US" w:eastAsia="zh-CN" w:bidi="ar"/>
        </w:rPr>
        <w:t>2025年度，我局主动在井陉政务网上发布更新政府信息</w:t>
      </w:r>
      <w:r>
        <w:rPr>
          <w:rFonts w:hint="eastAsia" w:ascii="方正仿宋简体" w:hAnsi="方正仿宋简体" w:eastAsia="方正仿宋简体" w:cs="方正仿宋简体"/>
          <w:color w:val="000000" w:themeColor="text1"/>
          <w:kern w:val="0"/>
          <w:sz w:val="32"/>
          <w:szCs w:val="32"/>
          <w:highlight w:val="none"/>
          <w:lang w:val="en-US" w:eastAsia="zh-CN" w:bidi="ar"/>
          <w14:textFill>
            <w14:solidFill>
              <w14:schemeClr w14:val="tx1"/>
            </w14:solidFill>
          </w14:textFill>
        </w:rPr>
        <w:t>58</w:t>
      </w:r>
      <w:r>
        <w:rPr>
          <w:rFonts w:hint="eastAsia" w:ascii="方正仿宋简体" w:hAnsi="方正仿宋简体" w:eastAsia="方正仿宋简体" w:cs="方正仿宋简体"/>
          <w:color w:val="000000"/>
          <w:kern w:val="0"/>
          <w:sz w:val="32"/>
          <w:szCs w:val="32"/>
          <w:lang w:val="en-US" w:eastAsia="zh-CN" w:bidi="ar"/>
        </w:rPr>
        <w:t>条，明确了各级工作职责、明确专职人员进行信息公开报送、明确政务公开责任追究办法，按照上级要求完善了“三审三校”、信息发布保密审查等程序，完善配套制度，确保政务信息公开工作取得实效。</w:t>
      </w:r>
    </w:p>
    <w:p w14:paraId="5C0A578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right="0" w:firstLine="640"/>
        <w:jc w:val="both"/>
        <w:textAlignment w:val="auto"/>
        <w:rPr>
          <w:rFonts w:hint="eastAsia" w:ascii="方正仿宋简体" w:hAnsi="方正仿宋简体" w:eastAsia="方正仿宋简体" w:cs="方正仿宋简体"/>
          <w:color w:val="000000"/>
          <w:kern w:val="0"/>
          <w:sz w:val="32"/>
          <w:szCs w:val="32"/>
          <w:lang w:val="en-US" w:eastAsia="zh-CN" w:bidi="ar"/>
        </w:rPr>
      </w:pPr>
      <w:r>
        <w:rPr>
          <w:rFonts w:hint="eastAsia" w:ascii="方正楷体简体" w:hAnsi="方正楷体简体" w:eastAsia="方正楷体简体" w:cs="方正楷体简体"/>
          <w:b/>
          <w:bCs/>
          <w:color w:val="000000"/>
          <w:kern w:val="0"/>
          <w:sz w:val="32"/>
          <w:szCs w:val="32"/>
          <w:lang w:val="en-US" w:eastAsia="zh-CN" w:bidi="ar"/>
        </w:rPr>
        <w:t>（三）丰富载体，拓展信息报送公开渠道。</w:t>
      </w:r>
      <w:r>
        <w:rPr>
          <w:rFonts w:hint="eastAsia" w:ascii="方正仿宋简体" w:hAnsi="方正仿宋简体" w:eastAsia="方正仿宋简体" w:cs="方正仿宋简体"/>
          <w:b/>
          <w:bCs/>
          <w:color w:val="000000"/>
          <w:kern w:val="0"/>
          <w:sz w:val="32"/>
          <w:szCs w:val="32"/>
          <w:lang w:val="en-US" w:eastAsia="zh-CN" w:bidi="ar"/>
        </w:rPr>
        <w:t>一是</w:t>
      </w:r>
      <w:r>
        <w:rPr>
          <w:rFonts w:hint="eastAsia" w:ascii="方正仿宋简体" w:hAnsi="方正仿宋简体" w:eastAsia="方正仿宋简体" w:cs="方正仿宋简体"/>
          <w:color w:val="000000"/>
          <w:kern w:val="0"/>
          <w:sz w:val="32"/>
          <w:szCs w:val="32"/>
          <w:lang w:val="en-US" w:eastAsia="zh-CN" w:bidi="ar"/>
        </w:rPr>
        <w:t>政务公开栏公开重要工作事项内容，做到及时更新，让群众及时了解政府信息。对照法律法规规章，全面梳理我局行政权力和服务职责，实行清单管理，及时按要求公开。及时公开机构职能目录，展现政府机构全力配置情况。</w:t>
      </w:r>
      <w:r>
        <w:rPr>
          <w:rFonts w:hint="eastAsia" w:ascii="方正仿宋简体" w:hAnsi="方正仿宋简体" w:eastAsia="方正仿宋简体" w:cs="方正仿宋简体"/>
          <w:b/>
          <w:bCs/>
          <w:color w:val="000000"/>
          <w:kern w:val="0"/>
          <w:sz w:val="32"/>
          <w:szCs w:val="32"/>
          <w:lang w:val="en-US" w:eastAsia="zh-CN" w:bidi="ar"/>
        </w:rPr>
        <w:t>二是</w:t>
      </w:r>
      <w:r>
        <w:rPr>
          <w:rFonts w:hint="eastAsia" w:ascii="方正仿宋简体" w:hAnsi="方正仿宋简体" w:eastAsia="方正仿宋简体" w:cs="方正仿宋简体"/>
          <w:color w:val="000000"/>
          <w:kern w:val="0"/>
          <w:sz w:val="32"/>
          <w:szCs w:val="32"/>
          <w:lang w:val="en-US" w:eastAsia="zh-CN" w:bidi="ar"/>
        </w:rPr>
        <w:t>借助县政府门户网站公开卫健各项信息，如工作动态、重大事项、责任清单、权力清单、行政审批事项等，采取多方式、多渠道，积极听取公众意见、扩大公众参与度。并通过线上线下全面准确将政务服务事项、办事指南、办事流程、监督举报方式和网站可办理程度等信息向社会公开。</w:t>
      </w:r>
      <w:r>
        <w:rPr>
          <w:rFonts w:hint="eastAsia" w:ascii="方正仿宋简体" w:hAnsi="方正仿宋简体" w:eastAsia="方正仿宋简体" w:cs="方正仿宋简体"/>
          <w:b/>
          <w:bCs/>
          <w:color w:val="000000"/>
          <w:kern w:val="0"/>
          <w:sz w:val="32"/>
          <w:szCs w:val="32"/>
          <w:lang w:val="en-US" w:eastAsia="zh-CN" w:bidi="ar"/>
        </w:rPr>
        <w:t>三是</w:t>
      </w:r>
      <w:r>
        <w:rPr>
          <w:rFonts w:hint="eastAsia" w:ascii="方正仿宋简体" w:hAnsi="方正仿宋简体" w:eastAsia="方正仿宋简体" w:cs="方正仿宋简体"/>
          <w:color w:val="000000"/>
          <w:kern w:val="0"/>
          <w:sz w:val="32"/>
          <w:szCs w:val="32"/>
          <w:lang w:val="en-US" w:eastAsia="zh-CN" w:bidi="ar"/>
        </w:rPr>
        <w:t>利用电子显示屏、信息公告栏、宣传橱窗等方式，进一步做好宣传工作。</w:t>
      </w:r>
    </w:p>
    <w:p w14:paraId="26CAE8F2">
      <w:pPr>
        <w:pStyle w:val="2"/>
        <w:keepNext w:val="0"/>
        <w:keepLines w:val="0"/>
        <w:pageBreakBefore w:val="0"/>
        <w:kinsoku/>
        <w:wordWrap/>
        <w:overflowPunct/>
        <w:topLinePunct w:val="0"/>
        <w:autoSpaceDN/>
        <w:bidi w:val="0"/>
        <w:adjustRightInd/>
        <w:snapToGrid/>
        <w:spacing w:before="0" w:after="0" w:line="600" w:lineRule="exact"/>
        <w:textAlignment w:val="auto"/>
        <w:rPr>
          <w:rFonts w:hint="eastAsia"/>
          <w:lang w:val="en-US" w:eastAsia="zh-CN"/>
        </w:rPr>
      </w:pPr>
    </w:p>
    <w:p w14:paraId="59D615D9">
      <w:pPr>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二、主动公开政府信息情况</w:t>
      </w:r>
    </w:p>
    <w:tbl>
      <w:tblPr>
        <w:tblStyle w:val="7"/>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2130"/>
        <w:gridCol w:w="885"/>
        <w:gridCol w:w="165"/>
        <w:gridCol w:w="1740"/>
        <w:gridCol w:w="1485"/>
        <w:gridCol w:w="2053"/>
      </w:tblGrid>
      <w:tr w14:paraId="57A39B6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vAlign w:val="center"/>
          </w:tcPr>
          <w:p w14:paraId="6D7A7E9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第二十条第（一）项</w:t>
            </w:r>
          </w:p>
        </w:tc>
      </w:tr>
      <w:tr w14:paraId="490D06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14:paraId="58FF700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1905" w:type="dxa"/>
            <w:gridSpan w:val="2"/>
            <w:tcBorders>
              <w:top w:val="single" w:color="auto" w:sz="6" w:space="0"/>
              <w:left w:val="nil"/>
              <w:bottom w:val="single" w:color="auto" w:sz="6" w:space="0"/>
              <w:right w:val="single" w:color="auto" w:sz="6" w:space="0"/>
            </w:tcBorders>
            <w:vAlign w:val="center"/>
          </w:tcPr>
          <w:p w14:paraId="49A4D85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本年制发件数</w:t>
            </w:r>
          </w:p>
        </w:tc>
        <w:tc>
          <w:tcPr>
            <w:tcW w:w="1485" w:type="dxa"/>
            <w:tcBorders>
              <w:top w:val="single" w:color="auto" w:sz="6" w:space="0"/>
              <w:left w:val="nil"/>
              <w:bottom w:val="single" w:color="auto" w:sz="6" w:space="0"/>
              <w:right w:val="single" w:color="auto" w:sz="6" w:space="0"/>
            </w:tcBorders>
            <w:vAlign w:val="center"/>
          </w:tcPr>
          <w:p w14:paraId="71F92C7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本年废止件数</w:t>
            </w:r>
          </w:p>
        </w:tc>
        <w:tc>
          <w:tcPr>
            <w:tcW w:w="2053" w:type="dxa"/>
            <w:tcBorders>
              <w:top w:val="single" w:color="auto" w:sz="6" w:space="0"/>
              <w:left w:val="nil"/>
              <w:bottom w:val="single" w:color="auto" w:sz="6" w:space="0"/>
              <w:right w:val="single" w:color="auto" w:sz="6" w:space="0"/>
            </w:tcBorders>
            <w:vAlign w:val="center"/>
          </w:tcPr>
          <w:p w14:paraId="5D242BE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现行有效件数</w:t>
            </w:r>
          </w:p>
        </w:tc>
      </w:tr>
      <w:tr w14:paraId="2CDD721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14:paraId="7190B58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规章</w:t>
            </w:r>
          </w:p>
        </w:tc>
        <w:tc>
          <w:tcPr>
            <w:tcW w:w="1905" w:type="dxa"/>
            <w:gridSpan w:val="2"/>
            <w:tcBorders>
              <w:top w:val="nil"/>
              <w:left w:val="nil"/>
              <w:bottom w:val="single" w:color="auto" w:sz="6" w:space="0"/>
              <w:right w:val="single" w:color="auto" w:sz="6" w:space="0"/>
            </w:tcBorders>
            <w:vAlign w:val="center"/>
          </w:tcPr>
          <w:p w14:paraId="6F369D7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1485" w:type="dxa"/>
            <w:tcBorders>
              <w:top w:val="nil"/>
              <w:left w:val="nil"/>
              <w:bottom w:val="single" w:color="auto" w:sz="6" w:space="0"/>
              <w:right w:val="single" w:color="auto" w:sz="6" w:space="0"/>
            </w:tcBorders>
            <w:vAlign w:val="center"/>
          </w:tcPr>
          <w:p w14:paraId="43676F8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vAlign w:val="center"/>
          </w:tcPr>
          <w:p w14:paraId="04F62CA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14:paraId="1D850A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vAlign w:val="center"/>
          </w:tcPr>
          <w:p w14:paraId="065B2CC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规范性文件</w:t>
            </w:r>
          </w:p>
        </w:tc>
        <w:tc>
          <w:tcPr>
            <w:tcW w:w="1905" w:type="dxa"/>
            <w:gridSpan w:val="2"/>
            <w:tcBorders>
              <w:top w:val="nil"/>
              <w:left w:val="nil"/>
              <w:bottom w:val="single" w:color="auto" w:sz="6" w:space="0"/>
              <w:right w:val="single" w:color="auto" w:sz="6" w:space="0"/>
            </w:tcBorders>
            <w:vAlign w:val="center"/>
          </w:tcPr>
          <w:p w14:paraId="5D16293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1485" w:type="dxa"/>
            <w:tcBorders>
              <w:top w:val="nil"/>
              <w:left w:val="nil"/>
              <w:bottom w:val="single" w:color="auto" w:sz="6" w:space="0"/>
              <w:right w:val="single" w:color="auto" w:sz="6" w:space="0"/>
            </w:tcBorders>
            <w:vAlign w:val="center"/>
          </w:tcPr>
          <w:p w14:paraId="2BFE93F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vAlign w:val="center"/>
          </w:tcPr>
          <w:p w14:paraId="713B2B9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bookmarkStart w:id="0" w:name="_GoBack"/>
            <w:bookmarkEnd w:id="0"/>
          </w:p>
        </w:tc>
      </w:tr>
      <w:tr w14:paraId="2506169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14:paraId="32ACBE4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第二十条第（五）项</w:t>
            </w:r>
          </w:p>
        </w:tc>
      </w:tr>
      <w:tr w14:paraId="78682E8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vAlign w:val="center"/>
          </w:tcPr>
          <w:p w14:paraId="409133D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5278" w:type="dxa"/>
            <w:gridSpan w:val="3"/>
            <w:tcBorders>
              <w:top w:val="single" w:color="auto" w:sz="6" w:space="0"/>
              <w:left w:val="nil"/>
              <w:bottom w:val="single" w:color="auto" w:sz="6" w:space="0"/>
              <w:right w:val="single" w:color="auto" w:sz="6" w:space="0"/>
            </w:tcBorders>
            <w:vAlign w:val="center"/>
          </w:tcPr>
          <w:p w14:paraId="1D6F123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14:paraId="5E97A69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vAlign w:val="center"/>
          </w:tcPr>
          <w:p w14:paraId="62AAD8F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行政许可</w:t>
            </w:r>
          </w:p>
        </w:tc>
        <w:tc>
          <w:tcPr>
            <w:tcW w:w="5278" w:type="dxa"/>
            <w:gridSpan w:val="3"/>
            <w:tcBorders>
              <w:top w:val="nil"/>
              <w:left w:val="nil"/>
              <w:bottom w:val="single" w:color="auto" w:sz="6" w:space="0"/>
              <w:right w:val="single" w:color="auto" w:sz="6" w:space="0"/>
            </w:tcBorders>
            <w:vAlign w:val="center"/>
          </w:tcPr>
          <w:p w14:paraId="28D2133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8C9A31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14:paraId="45F7138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第二十条第（六）项</w:t>
            </w:r>
          </w:p>
        </w:tc>
      </w:tr>
      <w:tr w14:paraId="009081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7AAD472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vAlign w:val="center"/>
          </w:tcPr>
          <w:p w14:paraId="3FA342B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14:paraId="19017BF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3F901C8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行政处罚</w:t>
            </w:r>
          </w:p>
        </w:tc>
        <w:tc>
          <w:tcPr>
            <w:tcW w:w="6328" w:type="dxa"/>
            <w:gridSpan w:val="5"/>
            <w:tcBorders>
              <w:top w:val="nil"/>
              <w:left w:val="nil"/>
              <w:bottom w:val="single" w:color="auto" w:sz="6" w:space="0"/>
              <w:right w:val="single" w:color="auto" w:sz="6" w:space="0"/>
            </w:tcBorders>
            <w:vAlign w:val="center"/>
          </w:tcPr>
          <w:p w14:paraId="7A74295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1</w:t>
            </w:r>
          </w:p>
        </w:tc>
      </w:tr>
      <w:tr w14:paraId="7351ACD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 w:hRule="atLeast"/>
        </w:trPr>
        <w:tc>
          <w:tcPr>
            <w:tcW w:w="2130" w:type="dxa"/>
            <w:tcBorders>
              <w:top w:val="nil"/>
              <w:left w:val="single" w:color="auto" w:sz="6" w:space="0"/>
              <w:bottom w:val="single" w:color="auto" w:sz="6" w:space="0"/>
              <w:right w:val="single" w:color="auto" w:sz="6" w:space="0"/>
            </w:tcBorders>
            <w:vAlign w:val="center"/>
          </w:tcPr>
          <w:p w14:paraId="4FC69FD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行政强制</w:t>
            </w:r>
          </w:p>
        </w:tc>
        <w:tc>
          <w:tcPr>
            <w:tcW w:w="6328" w:type="dxa"/>
            <w:gridSpan w:val="5"/>
            <w:tcBorders>
              <w:top w:val="nil"/>
              <w:left w:val="nil"/>
              <w:bottom w:val="single" w:color="auto" w:sz="6" w:space="0"/>
              <w:right w:val="single" w:color="auto" w:sz="6" w:space="0"/>
            </w:tcBorders>
            <w:vAlign w:val="center"/>
          </w:tcPr>
          <w:p w14:paraId="47A0944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349BBB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vAlign w:val="center"/>
          </w:tcPr>
          <w:p w14:paraId="48311C3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第二十条第（八）项</w:t>
            </w:r>
          </w:p>
        </w:tc>
      </w:tr>
      <w:tr w14:paraId="1CF9359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6277187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vAlign w:val="center"/>
          </w:tcPr>
          <w:p w14:paraId="043DEBA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本年收费金额（单位：万元）</w:t>
            </w:r>
          </w:p>
        </w:tc>
      </w:tr>
      <w:tr w14:paraId="7E89175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vAlign w:val="center"/>
          </w:tcPr>
          <w:p w14:paraId="2566430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行政事业性收费</w:t>
            </w:r>
          </w:p>
        </w:tc>
        <w:tc>
          <w:tcPr>
            <w:tcW w:w="6328" w:type="dxa"/>
            <w:gridSpan w:val="5"/>
            <w:tcBorders>
              <w:top w:val="nil"/>
              <w:left w:val="nil"/>
              <w:bottom w:val="single" w:color="auto" w:sz="6" w:space="0"/>
              <w:right w:val="single" w:color="auto" w:sz="6" w:space="0"/>
            </w:tcBorders>
            <w:vAlign w:val="center"/>
          </w:tcPr>
          <w:p w14:paraId="4941526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bl>
    <w:p w14:paraId="1D32E667">
      <w:pPr>
        <w:pStyle w:val="3"/>
        <w:wordWrap/>
        <w:adjustRightInd/>
        <w:snapToGrid/>
        <w:spacing w:line="600" w:lineRule="exact"/>
        <w:ind w:left="0" w:leftChars="0" w:firstLine="0" w:firstLineChars="0"/>
        <w:textAlignment w:val="auto"/>
        <w:rPr>
          <w:rFonts w:hint="eastAsia"/>
          <w:sz w:val="32"/>
          <w:szCs w:val="32"/>
          <w:lang w:val="en-US" w:eastAsia="zh-CN"/>
        </w:rPr>
      </w:pPr>
    </w:p>
    <w:p w14:paraId="08B12126">
      <w:pPr>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三、收到和处理政府信息公开申请情况</w:t>
      </w:r>
    </w:p>
    <w:tbl>
      <w:tblPr>
        <w:tblStyle w:val="7"/>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14:paraId="3B1A788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76C420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B4A7FD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申请人情况</w:t>
            </w:r>
          </w:p>
        </w:tc>
      </w:tr>
      <w:tr w14:paraId="7C9FDE9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78176F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785"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AE3CF2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067570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D88F2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14:paraId="3989A2C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B9A82B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785"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89837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F67286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8041A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4C5A4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0E64C2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F0858D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4B6DD6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r>
      <w:tr w14:paraId="69D317F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58BFCA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7406A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F2B7B9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86196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B2DF6B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9C42BF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AD8B2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E93CAA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14:paraId="02F0037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C1577D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302442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FD3FA5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EC5355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DD396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DD17CE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C592D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8769D2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18FCDD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BDAEB7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三、本年度办理结果</w:t>
            </w: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9C130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（一）予已公开</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B6D220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D04FB0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2E756B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965DC3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84837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CD367D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E39FC8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14:paraId="7C637A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263600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BA121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19D5A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25EA7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A5297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A7F9E2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5D122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F9FB89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68E0A6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14:paraId="65FD9C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3B5F55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EA31F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w:t>
            </w:r>
          </w:p>
          <w:p w14:paraId="20A8A93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14:paraId="3598CEB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公开</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BAA114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1.属于国家秘密</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EE69CA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6FCBC2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ED0CBB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B7C346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19A1D6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627680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F708B1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699C11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956D95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26C1A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780C75">
            <w:pPr>
              <w:pStyle w:val="6"/>
              <w:widowControl/>
              <w:numPr>
                <w:ilvl w:val="0"/>
                <w:numId w:val="1"/>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36D058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36D1D6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37469F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98BD3D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564F4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0E2A7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72244B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0C1694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65AB30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CEA93D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CA7BB3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3.危及“三安全一稳定”</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04B659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DCDD24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9CF045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7D2DC5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EF4997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B8ABD1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FD8241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cs="宋体"/>
                <w:sz w:val="18"/>
                <w:szCs w:val="18"/>
                <w:lang w:val="en-US" w:eastAsia="zh-CN"/>
              </w:rPr>
              <w:t>0</w:t>
            </w:r>
          </w:p>
        </w:tc>
      </w:tr>
      <w:tr w14:paraId="103E8C9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D2C632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66683E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7D7B0E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4.保护第三方合法权益</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112706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262855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382A3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4B513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D5DAF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FB3F12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67F5FF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C8E0E6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8623BE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7AF33C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B4E70A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5.属于三类内部事务信息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8DF0B3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1776D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3CE662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C1EE52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30C276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4EE09A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5EC355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56E430D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A5B01D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85F219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80F9B5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6.属于四类过程性信息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49FA98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579559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3BA0FC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D56D15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5DA9F8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8C4977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40E86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A0D685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B1E5CF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C0110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B54B85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7.属于行政执法案卷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126C0D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B01A5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D70252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7A970D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FBFFC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10504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2381E5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6B55F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CF462A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DBE6E6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DDB55F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8.属于行政查询事项</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156E1F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FD8135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229CB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F5A6CD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3063DB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B4FE2E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0E56F6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1CDBCB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58F043D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40281B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w:t>
            </w:r>
          </w:p>
          <w:p w14:paraId="347A970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无法</w:t>
            </w:r>
          </w:p>
          <w:p w14:paraId="1F6A617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提供</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0BDFFC">
            <w:pPr>
              <w:pStyle w:val="6"/>
              <w:widowControl/>
              <w:numPr>
                <w:ilvl w:val="0"/>
                <w:numId w:val="2"/>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本机关不掌握相关政府</w:t>
            </w:r>
          </w:p>
          <w:p w14:paraId="0985BF8E">
            <w:pPr>
              <w:pStyle w:val="6"/>
              <w:widowControl/>
              <w:numPr>
                <w:ilvl w:val="0"/>
                <w:numId w:val="0"/>
              </w:numPr>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Chars="0" w:right="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9476F4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A634D0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F15ACE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646880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5EF84F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93F779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3BF433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14:paraId="4EA8F3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CD1FA7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459045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581636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2.没有现成信息需要另行制作</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94A531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60464D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275FDF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FB83A4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7C61AA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614BF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A30832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576B607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404431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176A2F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785108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3.补正后申请内容仍不明确</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782960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13D6F7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C02BD3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69F7E0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C97486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CA55B2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86EC8E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5F7FC95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2A5A3F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A5424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（五）</w:t>
            </w:r>
          </w:p>
          <w:p w14:paraId="4CDCA4C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14:paraId="0897497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1F324C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1.信访举报投诉类申请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8D8A57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07730A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1D64C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14D3CA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80DF20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FBA051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3EB7C9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B4A53F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C2FE5F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606DE9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2AB64D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2.重复申请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2F133D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827E0D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7C3E12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9A731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3F6EC7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4891C5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31BBAF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BEEE16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42B3F4A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5285CB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C9E4A8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3.要求提供公开出版物</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6707C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D11121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E61565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E91AE2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51B6B0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3582A0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FF96A2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22020C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3698429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5CDFA7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AB6CC9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4.无正当理由大量反复申请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A04993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91AEC0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16D7D1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63EFD84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BBD03E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0BA9FB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CECAD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D5A944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28B5E34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8C5B20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A10B5D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B5FC19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DE28F4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2ADDA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33B61D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F5F103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F031AA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B75799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518E981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6F8AA55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restart"/>
            <w:tcBorders>
              <w:top w:val="nil"/>
              <w:left w:val="nil"/>
              <w:right w:val="single" w:color="auto" w:sz="8" w:space="0"/>
            </w:tcBorders>
            <w:shd w:val="clear" w:color="auto" w:fill="FFFFFF"/>
            <w:tcMar>
              <w:top w:w="0" w:type="dxa"/>
              <w:left w:w="108" w:type="dxa"/>
              <w:bottom w:w="0" w:type="dxa"/>
              <w:right w:w="108" w:type="dxa"/>
            </w:tcMar>
            <w:vAlign w:val="center"/>
          </w:tcPr>
          <w:p w14:paraId="5BD691C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（六）</w:t>
            </w:r>
          </w:p>
          <w:p w14:paraId="14847E7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2529AED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E2DC22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20374F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20D1B3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625F7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652E69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3054A4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3FCB94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39D210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2BDB00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0DAF70C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left w:val="nil"/>
              <w:right w:val="single" w:color="auto" w:sz="8" w:space="0"/>
            </w:tcBorders>
            <w:shd w:val="clear" w:color="auto" w:fill="FFFFFF"/>
            <w:tcMar>
              <w:top w:w="0" w:type="dxa"/>
              <w:left w:w="108" w:type="dxa"/>
              <w:bottom w:w="0" w:type="dxa"/>
              <w:right w:w="108" w:type="dxa"/>
            </w:tcMar>
            <w:vAlign w:val="center"/>
          </w:tcPr>
          <w:p w14:paraId="69430CF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0CC770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35FB7E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977EA8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1F4645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BFA4E1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0A1468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726DC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5897743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1AC657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777363D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880" w:type="dxa"/>
            <w:vMerge w:val="continue"/>
            <w:tcBorders>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3F8C0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BBA2B5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3.其他</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0A2ACA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CD0E29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C89D75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028B68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635F23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62B9C0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972C43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1083E92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324"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F53732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99917D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（七）总计</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405493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2DEDAB4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2D6FB12">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63F911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8797E8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7488E07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CB3E34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r>
      <w:tr w14:paraId="7E20762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14:paraId="1646903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四、结转下年度继续办理</w:t>
            </w:r>
          </w:p>
        </w:tc>
        <w:tc>
          <w:tcPr>
            <w:tcW w:w="78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221A77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784394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DF8D22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07139B8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4BB7AF2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3808964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14:paraId="1148D1C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leftChars="0" w:right="0" w:firstLine="0" w:firstLineChars="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14:paraId="213EE144">
      <w:pPr>
        <w:pStyle w:val="3"/>
        <w:wordWrap/>
        <w:adjustRightInd/>
        <w:snapToGrid/>
        <w:spacing w:line="600" w:lineRule="exact"/>
        <w:ind w:left="0" w:leftChars="0" w:firstLine="0" w:firstLineChars="0"/>
        <w:textAlignment w:val="auto"/>
        <w:rPr>
          <w:rFonts w:hint="eastAsia"/>
          <w:lang w:val="en-US" w:eastAsia="zh-CN"/>
        </w:rPr>
      </w:pPr>
    </w:p>
    <w:p w14:paraId="046E18A4">
      <w:pPr>
        <w:widowControl w:val="0"/>
        <w:numPr>
          <w:ilvl w:val="0"/>
          <w:numId w:val="0"/>
        </w:numPr>
        <w:wordWrap/>
        <w:adjustRightInd/>
        <w:snapToGrid/>
        <w:spacing w:line="600" w:lineRule="exact"/>
        <w:ind w:left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四、政府信息公开行政复议、行政诉讼情况</w:t>
      </w:r>
    </w:p>
    <w:tbl>
      <w:tblPr>
        <w:tblStyle w:val="7"/>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14:paraId="7282460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2672" w:type="dxa"/>
            <w:gridSpan w:val="5"/>
            <w:tcBorders>
              <w:top w:val="single" w:color="auto" w:sz="6" w:space="0"/>
              <w:left w:val="single" w:color="auto" w:sz="6" w:space="0"/>
              <w:bottom w:val="single" w:color="auto" w:sz="6" w:space="0"/>
              <w:right w:val="single" w:color="auto" w:sz="6" w:space="0"/>
            </w:tcBorders>
            <w:vAlign w:val="center"/>
          </w:tcPr>
          <w:p w14:paraId="640CA55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行政复议</w:t>
            </w:r>
          </w:p>
        </w:tc>
        <w:tc>
          <w:tcPr>
            <w:tcW w:w="5970" w:type="dxa"/>
            <w:gridSpan w:val="10"/>
            <w:tcBorders>
              <w:top w:val="single" w:color="auto" w:sz="6" w:space="0"/>
              <w:left w:val="nil"/>
              <w:bottom w:val="single" w:color="auto" w:sz="6" w:space="0"/>
              <w:right w:val="single" w:color="auto" w:sz="6" w:space="0"/>
            </w:tcBorders>
            <w:vAlign w:val="center"/>
          </w:tcPr>
          <w:p w14:paraId="30E8489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行政诉讼</w:t>
            </w:r>
          </w:p>
        </w:tc>
      </w:tr>
      <w:tr w14:paraId="3129342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restart"/>
            <w:tcBorders>
              <w:top w:val="nil"/>
              <w:left w:val="single" w:color="auto" w:sz="6" w:space="0"/>
              <w:bottom w:val="single" w:color="auto" w:sz="6" w:space="0"/>
              <w:right w:val="single" w:color="auto" w:sz="6" w:space="0"/>
            </w:tcBorders>
            <w:vAlign w:val="center"/>
          </w:tcPr>
          <w:p w14:paraId="04ACCB3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结果维持</w:t>
            </w:r>
          </w:p>
        </w:tc>
        <w:tc>
          <w:tcPr>
            <w:tcW w:w="540" w:type="dxa"/>
            <w:vMerge w:val="restart"/>
            <w:tcBorders>
              <w:top w:val="nil"/>
              <w:left w:val="nil"/>
              <w:bottom w:val="single" w:color="auto" w:sz="6" w:space="0"/>
              <w:right w:val="single" w:color="auto" w:sz="6" w:space="0"/>
            </w:tcBorders>
            <w:vAlign w:val="center"/>
          </w:tcPr>
          <w:p w14:paraId="4A789CF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结果纠正</w:t>
            </w:r>
          </w:p>
        </w:tc>
        <w:tc>
          <w:tcPr>
            <w:tcW w:w="495" w:type="dxa"/>
            <w:vMerge w:val="restart"/>
            <w:tcBorders>
              <w:top w:val="single" w:color="auto" w:sz="6" w:space="0"/>
              <w:left w:val="nil"/>
              <w:bottom w:val="single" w:color="auto" w:sz="6" w:space="0"/>
              <w:right w:val="single" w:color="auto" w:sz="6" w:space="0"/>
            </w:tcBorders>
            <w:vAlign w:val="center"/>
          </w:tcPr>
          <w:p w14:paraId="38F418E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其他结果</w:t>
            </w:r>
          </w:p>
        </w:tc>
        <w:tc>
          <w:tcPr>
            <w:tcW w:w="549" w:type="dxa"/>
            <w:vMerge w:val="restart"/>
            <w:tcBorders>
              <w:top w:val="single" w:color="auto" w:sz="6" w:space="0"/>
              <w:left w:val="nil"/>
              <w:bottom w:val="single" w:color="auto" w:sz="6" w:space="0"/>
              <w:right w:val="single" w:color="auto" w:sz="6" w:space="0"/>
            </w:tcBorders>
            <w:vAlign w:val="center"/>
          </w:tcPr>
          <w:p w14:paraId="7A74BE4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尚未审结</w:t>
            </w:r>
          </w:p>
        </w:tc>
        <w:tc>
          <w:tcPr>
            <w:tcW w:w="548" w:type="dxa"/>
            <w:vMerge w:val="restart"/>
            <w:tcBorders>
              <w:top w:val="single" w:color="auto" w:sz="6" w:space="0"/>
              <w:left w:val="nil"/>
              <w:bottom w:val="single" w:color="auto" w:sz="6" w:space="0"/>
              <w:right w:val="single" w:color="auto" w:sz="6" w:space="0"/>
            </w:tcBorders>
            <w:vAlign w:val="center"/>
          </w:tcPr>
          <w:p w14:paraId="3DD9D70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2985" w:type="dxa"/>
            <w:gridSpan w:val="5"/>
            <w:tcBorders>
              <w:top w:val="single" w:color="auto" w:sz="6" w:space="0"/>
              <w:left w:val="nil"/>
              <w:bottom w:val="single" w:color="auto" w:sz="6" w:space="0"/>
              <w:right w:val="single" w:color="auto" w:sz="6" w:space="0"/>
            </w:tcBorders>
            <w:vAlign w:val="center"/>
          </w:tcPr>
          <w:p w14:paraId="7FE7CCC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vAlign w:val="center"/>
          </w:tcPr>
          <w:p w14:paraId="348C0C3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复议后起诉</w:t>
            </w:r>
          </w:p>
        </w:tc>
      </w:tr>
      <w:tr w14:paraId="1D5990C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540" w:type="dxa"/>
            <w:vMerge w:val="continue"/>
            <w:tcBorders>
              <w:top w:val="nil"/>
              <w:left w:val="single" w:color="auto" w:sz="6" w:space="0"/>
              <w:bottom w:val="single" w:color="auto" w:sz="6" w:space="0"/>
              <w:right w:val="single" w:color="auto" w:sz="6" w:space="0"/>
            </w:tcBorders>
            <w:vAlign w:val="center"/>
          </w:tcPr>
          <w:p w14:paraId="0D35E33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540" w:type="dxa"/>
            <w:vMerge w:val="continue"/>
            <w:tcBorders>
              <w:top w:val="nil"/>
              <w:left w:val="nil"/>
              <w:bottom w:val="single" w:color="auto" w:sz="6" w:space="0"/>
              <w:right w:val="single" w:color="auto" w:sz="6" w:space="0"/>
            </w:tcBorders>
            <w:vAlign w:val="center"/>
          </w:tcPr>
          <w:p w14:paraId="1966DAE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495" w:type="dxa"/>
            <w:vMerge w:val="continue"/>
            <w:tcBorders>
              <w:top w:val="single" w:color="auto" w:sz="6" w:space="0"/>
              <w:left w:val="nil"/>
              <w:bottom w:val="single" w:color="auto" w:sz="6" w:space="0"/>
              <w:right w:val="single" w:color="auto" w:sz="6" w:space="0"/>
            </w:tcBorders>
            <w:vAlign w:val="center"/>
          </w:tcPr>
          <w:p w14:paraId="307FCB8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549" w:type="dxa"/>
            <w:vMerge w:val="continue"/>
            <w:tcBorders>
              <w:top w:val="single" w:color="auto" w:sz="6" w:space="0"/>
              <w:left w:val="nil"/>
              <w:bottom w:val="single" w:color="auto" w:sz="6" w:space="0"/>
              <w:right w:val="single" w:color="auto" w:sz="6" w:space="0"/>
            </w:tcBorders>
            <w:vAlign w:val="center"/>
          </w:tcPr>
          <w:p w14:paraId="2811555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548" w:type="dxa"/>
            <w:vMerge w:val="continue"/>
            <w:tcBorders>
              <w:top w:val="single" w:color="auto" w:sz="6" w:space="0"/>
              <w:left w:val="nil"/>
              <w:bottom w:val="single" w:color="auto" w:sz="6" w:space="0"/>
              <w:right w:val="single" w:color="auto" w:sz="6" w:space="0"/>
            </w:tcBorders>
            <w:vAlign w:val="center"/>
          </w:tcPr>
          <w:p w14:paraId="253A65A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p>
        </w:tc>
        <w:tc>
          <w:tcPr>
            <w:tcW w:w="682" w:type="dxa"/>
            <w:tcBorders>
              <w:top w:val="nil"/>
              <w:left w:val="nil"/>
              <w:bottom w:val="single" w:color="auto" w:sz="6" w:space="0"/>
              <w:right w:val="single" w:color="auto" w:sz="6" w:space="0"/>
            </w:tcBorders>
            <w:vAlign w:val="center"/>
          </w:tcPr>
          <w:p w14:paraId="29BE33E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2885157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nil"/>
              <w:left w:val="nil"/>
              <w:bottom w:val="single" w:color="auto" w:sz="6" w:space="0"/>
              <w:right w:val="single" w:color="auto" w:sz="6" w:space="0"/>
            </w:tcBorders>
            <w:vAlign w:val="center"/>
          </w:tcPr>
          <w:p w14:paraId="4F8DCC0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733080D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vAlign w:val="center"/>
          </w:tcPr>
          <w:p w14:paraId="38FC915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7D1A944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vAlign w:val="center"/>
          </w:tcPr>
          <w:p w14:paraId="1E17B0E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14:paraId="30D9429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503" w:type="dxa"/>
            <w:tcBorders>
              <w:top w:val="single" w:color="auto" w:sz="6" w:space="0"/>
              <w:left w:val="nil"/>
              <w:bottom w:val="single" w:color="auto" w:sz="6" w:space="0"/>
              <w:right w:val="single" w:color="auto" w:sz="6" w:space="0"/>
            </w:tcBorders>
            <w:vAlign w:val="center"/>
          </w:tcPr>
          <w:p w14:paraId="789BF8F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712" w:type="dxa"/>
            <w:tcBorders>
              <w:top w:val="single" w:color="auto" w:sz="6" w:space="0"/>
              <w:left w:val="nil"/>
              <w:bottom w:val="single" w:color="auto" w:sz="6" w:space="0"/>
              <w:right w:val="single" w:color="auto" w:sz="6" w:space="0"/>
            </w:tcBorders>
            <w:vAlign w:val="center"/>
          </w:tcPr>
          <w:p w14:paraId="6086036D">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04910EF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6" w:space="0"/>
              <w:left w:val="nil"/>
              <w:bottom w:val="single" w:color="auto" w:sz="6" w:space="0"/>
              <w:right w:val="single" w:color="auto" w:sz="6" w:space="0"/>
            </w:tcBorders>
            <w:vAlign w:val="center"/>
          </w:tcPr>
          <w:p w14:paraId="0A068C3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42EBC61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vAlign w:val="center"/>
          </w:tcPr>
          <w:p w14:paraId="6BB8626B">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05CFA06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vAlign w:val="center"/>
          </w:tcPr>
          <w:p w14:paraId="7752EF3E">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14:paraId="72AEE329">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473" w:type="dxa"/>
            <w:tcBorders>
              <w:top w:val="single" w:color="auto" w:sz="6" w:space="0"/>
              <w:left w:val="nil"/>
              <w:bottom w:val="single" w:color="auto" w:sz="6" w:space="0"/>
              <w:right w:val="single" w:color="auto" w:sz="6" w:space="0"/>
            </w:tcBorders>
            <w:vAlign w:val="center"/>
          </w:tcPr>
          <w:p w14:paraId="43888670">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14:paraId="358CD51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tcBorders>
              <w:top w:val="nil"/>
              <w:left w:val="single" w:color="auto" w:sz="6" w:space="0"/>
              <w:bottom w:val="single" w:color="auto" w:sz="6" w:space="0"/>
              <w:right w:val="single" w:color="auto" w:sz="6" w:space="0"/>
            </w:tcBorders>
            <w:vAlign w:val="center"/>
          </w:tcPr>
          <w:p w14:paraId="2957BF2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540" w:type="dxa"/>
            <w:tcBorders>
              <w:top w:val="nil"/>
              <w:left w:val="nil"/>
              <w:bottom w:val="single" w:color="auto" w:sz="6" w:space="0"/>
              <w:right w:val="single" w:color="auto" w:sz="6" w:space="0"/>
            </w:tcBorders>
            <w:vAlign w:val="center"/>
          </w:tcPr>
          <w:p w14:paraId="03EB47BA">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495" w:type="dxa"/>
            <w:tcBorders>
              <w:top w:val="nil"/>
              <w:left w:val="nil"/>
              <w:bottom w:val="single" w:color="auto" w:sz="6" w:space="0"/>
              <w:right w:val="single" w:color="auto" w:sz="6" w:space="0"/>
            </w:tcBorders>
            <w:vAlign w:val="center"/>
          </w:tcPr>
          <w:p w14:paraId="6927D79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9" w:type="dxa"/>
            <w:tcBorders>
              <w:top w:val="nil"/>
              <w:left w:val="nil"/>
              <w:bottom w:val="single" w:color="auto" w:sz="6" w:space="0"/>
              <w:right w:val="single" w:color="auto" w:sz="6" w:space="0"/>
            </w:tcBorders>
            <w:vAlign w:val="center"/>
          </w:tcPr>
          <w:p w14:paraId="13AA0CF6">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8" w:type="dxa"/>
            <w:tcBorders>
              <w:top w:val="nil"/>
              <w:left w:val="nil"/>
              <w:bottom w:val="single" w:color="auto" w:sz="6" w:space="0"/>
              <w:right w:val="single" w:color="auto" w:sz="6" w:space="0"/>
            </w:tcBorders>
            <w:vAlign w:val="center"/>
          </w:tcPr>
          <w:p w14:paraId="574F624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682" w:type="dxa"/>
            <w:tcBorders>
              <w:top w:val="nil"/>
              <w:left w:val="nil"/>
              <w:bottom w:val="single" w:color="auto" w:sz="6" w:space="0"/>
              <w:right w:val="single" w:color="auto" w:sz="6" w:space="0"/>
            </w:tcBorders>
            <w:vAlign w:val="center"/>
          </w:tcPr>
          <w:p w14:paraId="08BF84C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0AE341A7">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10612D5C">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381AF6B3">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503" w:type="dxa"/>
            <w:tcBorders>
              <w:top w:val="nil"/>
              <w:left w:val="nil"/>
              <w:bottom w:val="single" w:color="auto" w:sz="6" w:space="0"/>
              <w:right w:val="single" w:color="auto" w:sz="6" w:space="0"/>
            </w:tcBorders>
            <w:vAlign w:val="center"/>
          </w:tcPr>
          <w:p w14:paraId="137F28B8">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cs="宋体"/>
                <w:sz w:val="18"/>
                <w:szCs w:val="18"/>
                <w:lang w:val="en-US" w:eastAsia="zh-CN"/>
              </w:rPr>
              <w:t>0</w:t>
            </w:r>
          </w:p>
        </w:tc>
        <w:tc>
          <w:tcPr>
            <w:tcW w:w="712" w:type="dxa"/>
            <w:tcBorders>
              <w:top w:val="nil"/>
              <w:left w:val="nil"/>
              <w:bottom w:val="single" w:color="auto" w:sz="6" w:space="0"/>
              <w:right w:val="single" w:color="auto" w:sz="6" w:space="0"/>
            </w:tcBorders>
            <w:vAlign w:val="center"/>
          </w:tcPr>
          <w:p w14:paraId="198C1041">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5A79C31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5D77A295">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vAlign w:val="center"/>
          </w:tcPr>
          <w:p w14:paraId="5B02A3E4">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73" w:type="dxa"/>
            <w:tcBorders>
              <w:top w:val="nil"/>
              <w:left w:val="nil"/>
              <w:bottom w:val="single" w:color="auto" w:sz="6" w:space="0"/>
              <w:right w:val="single" w:color="auto" w:sz="6" w:space="0"/>
            </w:tcBorders>
            <w:vAlign w:val="center"/>
          </w:tcPr>
          <w:p w14:paraId="4846EF1F">
            <w:pPr>
              <w:pStyle w:val="6"/>
              <w:widowControl/>
              <w:pBdr>
                <w:top w:val="none" w:color="auto" w:sz="0" w:space="0"/>
                <w:left w:val="none" w:color="auto" w:sz="0" w:space="0"/>
                <w:bottom w:val="none" w:color="auto" w:sz="0" w:space="0"/>
                <w:right w:val="none" w:color="auto" w:sz="0" w:space="0"/>
              </w:pBdr>
              <w:wordWrap/>
              <w:adjustRightInd/>
              <w:snapToGrid/>
              <w:spacing w:before="0" w:beforeAutospacing="0" w:after="0" w:afterAutospacing="0" w:line="600" w:lineRule="exact"/>
              <w:ind w:left="0" w:right="0" w:firstLine="0"/>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14:paraId="6B8FEA91">
      <w:pPr>
        <w:pStyle w:val="3"/>
        <w:wordWrap/>
        <w:adjustRightInd/>
        <w:snapToGrid/>
        <w:spacing w:line="560" w:lineRule="exact"/>
        <w:ind w:left="0" w:leftChars="0" w:firstLine="0" w:firstLineChars="0"/>
        <w:textAlignment w:val="auto"/>
        <w:rPr>
          <w:rFonts w:hint="eastAsia"/>
          <w:lang w:val="en-US" w:eastAsia="zh-CN"/>
        </w:rPr>
      </w:pPr>
    </w:p>
    <w:p w14:paraId="1697DA1C">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五、存在的问题及改进情况</w:t>
      </w:r>
    </w:p>
    <w:p w14:paraId="5BF74FE8">
      <w:pPr>
        <w:keepNext w:val="0"/>
        <w:keepLines w:val="0"/>
        <w:pageBreakBefore w:val="0"/>
        <w:widowControl/>
        <w:suppressLineNumbers w:val="0"/>
        <w:kinsoku/>
        <w:wordWrap/>
        <w:overflowPunct/>
        <w:topLinePunct w:val="0"/>
        <w:autoSpaceDE w:val="0"/>
        <w:autoSpaceDN/>
        <w:bidi w:val="0"/>
        <w:adjustRightInd/>
        <w:snapToGrid/>
        <w:spacing w:beforeAutospacing="0" w:afterAutospacing="0" w:line="600" w:lineRule="exact"/>
        <w:ind w:left="0" w:right="0" w:firstLine="640"/>
        <w:jc w:val="both"/>
        <w:textAlignment w:val="auto"/>
        <w:rPr>
          <w:rFonts w:hint="eastAsia" w:ascii="方正仿宋简体" w:hAnsi="方正仿宋简体" w:eastAsia="方正仿宋简体" w:cs="方正仿宋简体"/>
          <w:color w:val="000000"/>
          <w:kern w:val="0"/>
          <w:sz w:val="32"/>
          <w:szCs w:val="32"/>
          <w:lang w:val="en-US" w:eastAsia="zh-CN" w:bidi="ar"/>
        </w:rPr>
      </w:pPr>
      <w:r>
        <w:rPr>
          <w:rFonts w:hint="eastAsia" w:ascii="方正仿宋简体" w:hAnsi="方正仿宋简体" w:eastAsia="方正仿宋简体" w:cs="方正仿宋简体"/>
          <w:color w:val="000000"/>
          <w:kern w:val="0"/>
          <w:sz w:val="32"/>
          <w:szCs w:val="32"/>
          <w:lang w:val="en-US" w:eastAsia="zh-CN" w:bidi="ar"/>
        </w:rPr>
        <w:t>2025年，虽然我局在信息公开工作方面取得了一定的成绩，但对照上级的要求和公众的期望，还存在一些不足的问题，主要是主动公开的内容还需进一步规范，信息公开的载体和形式还需要进一步丰富。在下一年的工作中，我局将继续认真落实国家和省、市信息公开工作要求，进一步健全信息公开机制，深化主动公开内容，加强卫健信息解读，创新信息公开渠道，优化信息公开服务，强化信息公开指导，不断推进政府信息公开工作，切实提升政府信息公开的效果和水平。</w:t>
      </w:r>
    </w:p>
    <w:p w14:paraId="286DBF07">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p>
    <w:p w14:paraId="7DD1AB62">
      <w:pPr>
        <w:widowControl w:val="0"/>
        <w:numPr>
          <w:ilvl w:val="0"/>
          <w:numId w:val="0"/>
        </w:numPr>
        <w:wordWrap/>
        <w:adjustRightInd/>
        <w:snapToGrid/>
        <w:spacing w:line="600" w:lineRule="exact"/>
        <w:ind w:firstLine="640" w:firstLineChars="200"/>
        <w:textAlignment w:val="auto"/>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pPr>
      <w:r>
        <w:rPr>
          <w:rFonts w:hint="eastAsia" w:ascii="方正黑体简体" w:hAnsi="方正黑体简体" w:eastAsia="方正黑体简体" w:cs="方正黑体简体"/>
          <w:b w:val="0"/>
          <w:i w:val="0"/>
          <w:caps w:val="0"/>
          <w:color w:val="212121"/>
          <w:spacing w:val="0"/>
          <w:kern w:val="0"/>
          <w:sz w:val="32"/>
          <w:szCs w:val="32"/>
          <w:shd w:val="clear" w:color="090000" w:fill="FFFFFF"/>
          <w:lang w:val="en-US" w:eastAsia="zh-CN"/>
        </w:rPr>
        <w:t>六、其他需要报告的事项</w:t>
      </w:r>
    </w:p>
    <w:p w14:paraId="79A3D5C7">
      <w:pPr>
        <w:pStyle w:val="2"/>
        <w:numPr>
          <w:ilvl w:val="0"/>
          <w:numId w:val="0"/>
        </w:numPr>
        <w:ind w:firstLine="640" w:firstLineChars="200"/>
        <w:jc w:val="both"/>
        <w:rPr>
          <w:rFonts w:hint="eastAsia" w:ascii="方正仿宋简体" w:hAnsi="方正仿宋简体" w:eastAsia="方正仿宋简体" w:cs="方正仿宋简体"/>
          <w:b w:val="0"/>
          <w:bCs w:val="0"/>
          <w:color w:val="000000"/>
          <w:kern w:val="0"/>
          <w:sz w:val="32"/>
          <w:szCs w:val="32"/>
          <w:lang w:val="en-US" w:eastAsia="zh-CN" w:bidi="ar"/>
        </w:rPr>
      </w:pPr>
      <w:r>
        <w:rPr>
          <w:rFonts w:hint="eastAsia" w:ascii="方正仿宋简体" w:hAnsi="方正仿宋简体" w:eastAsia="方正仿宋简体" w:cs="方正仿宋简体"/>
          <w:b w:val="0"/>
          <w:bCs w:val="0"/>
          <w:color w:val="000000"/>
          <w:kern w:val="0"/>
          <w:sz w:val="32"/>
          <w:szCs w:val="32"/>
          <w:lang w:val="en-US" w:eastAsia="zh-CN" w:bidi="ar"/>
        </w:rPr>
        <w:t>无</w:t>
      </w:r>
    </w:p>
    <w:sectPr>
      <w:footerReference r:id="rId3" w:type="default"/>
      <w:pgSz w:w="11906" w:h="16838"/>
      <w:pgMar w:top="1587" w:right="1587" w:bottom="1587" w:left="1587"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楷体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02236">
    <w:pPr>
      <w:pStyle w:val="4"/>
    </w:pPr>
    <w:r>
      <w:rPr>
        <w:rFonts w:ascii="Calibri" w:hAnsi="Calibri" w:eastAsia="宋体" w:cs="黑体"/>
        <w:kern w:val="2"/>
        <w:sz w:val="18"/>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4E3D0E09">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1">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5dblS0AAAAAUBAAAPAAAAAAAAAAEAIAAAACIAAABkcnMvZG93bnJldi54bWxQSwEC&#10;FAAUAAAACACHTuJAfmucmMMBAACPAwAADgAAAAAAAAABACAAAAAfAQAAZHJzL2Uyb0RvYy54bWxQ&#10;SwUGAAAAAAYABgBZAQAAVAUAAAAA&#10;">
              <v:fill on="f" focussize="0,0"/>
              <v:stroke on="f"/>
              <v:imagedata o:title=""/>
              <o:lock v:ext="edit" aspectratio="f"/>
              <v:textbox inset="0mm,0mm,0mm,0mm" style="mso-fit-shape-to-text:t;">
                <w:txbxContent>
                  <w:p w14:paraId="4E3D0E09">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DC16339F"/>
    <w:multiLevelType w:val="singleLevel"/>
    <w:tmpl w:val="DC16339F"/>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1NDFlMDNlNmVjMDIzZjkxOGIyZDg5MGJlMzQ2N2EifQ=="/>
  </w:docVars>
  <w:rsids>
    <w:rsidRoot w:val="00000000"/>
    <w:rsid w:val="018A1427"/>
    <w:rsid w:val="04100FC4"/>
    <w:rsid w:val="04346452"/>
    <w:rsid w:val="073548D0"/>
    <w:rsid w:val="15C23EE7"/>
    <w:rsid w:val="17F028B0"/>
    <w:rsid w:val="1816540B"/>
    <w:rsid w:val="1A3E5A8C"/>
    <w:rsid w:val="1CA477A7"/>
    <w:rsid w:val="21DA1582"/>
    <w:rsid w:val="2494563C"/>
    <w:rsid w:val="255B2F57"/>
    <w:rsid w:val="2CD67263"/>
    <w:rsid w:val="3FE84AA4"/>
    <w:rsid w:val="3FEE7877"/>
    <w:rsid w:val="4297098A"/>
    <w:rsid w:val="43284021"/>
    <w:rsid w:val="44427364"/>
    <w:rsid w:val="4A0752A0"/>
    <w:rsid w:val="52242B53"/>
    <w:rsid w:val="56CF133C"/>
    <w:rsid w:val="5D086F45"/>
    <w:rsid w:val="5D3275F6"/>
    <w:rsid w:val="657F6756"/>
    <w:rsid w:val="67FE4C0F"/>
    <w:rsid w:val="68105541"/>
    <w:rsid w:val="71047F71"/>
    <w:rsid w:val="7A064CE7"/>
    <w:rsid w:val="7A1B64D3"/>
    <w:rsid w:val="7A992B3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黑体"/>
      <w:kern w:val="2"/>
      <w:sz w:val="21"/>
      <w:szCs w:val="24"/>
      <w:lang w:val="en-US" w:eastAsia="zh-CN" w:bidi="ar-SA"/>
    </w:rPr>
  </w:style>
  <w:style w:type="character" w:default="1" w:styleId="8">
    <w:name w:val="Default Paragraph Font"/>
    <w:autoRedefine/>
    <w:semiHidden/>
    <w:qFormat/>
    <w:uiPriority w:val="0"/>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Title"/>
    <w:basedOn w:val="1"/>
    <w:next w:val="1"/>
    <w:autoRedefine/>
    <w:qFormat/>
    <w:uiPriority w:val="0"/>
    <w:pPr>
      <w:spacing w:before="240" w:after="60"/>
      <w:jc w:val="center"/>
    </w:pPr>
    <w:rPr>
      <w:rFonts w:ascii="等线 Light" w:hAnsi="等线 Light" w:eastAsia="等线 Light" w:cs="Times New Roman"/>
      <w:b/>
      <w:bCs/>
      <w:sz w:val="32"/>
      <w:szCs w:val="32"/>
    </w:rPr>
  </w:style>
  <w:style w:type="paragraph" w:styleId="3">
    <w:name w:val="Normal Indent"/>
    <w:basedOn w:val="1"/>
    <w:qFormat/>
    <w:uiPriority w:val="0"/>
    <w:pPr>
      <w:ind w:firstLine="420" w:firstLineChars="200"/>
    </w:p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rPr>
  </w:style>
  <w:style w:type="character" w:styleId="9">
    <w:name w:val="Hyperlink"/>
    <w:basedOn w:val="8"/>
    <w:autoRedefine/>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1842</Words>
  <Characters>1872</Characters>
  <Lines>0</Lines>
  <Paragraphs>0</Paragraphs>
  <TotalTime>1012</TotalTime>
  <ScaleCrop>false</ScaleCrop>
  <LinksUpToDate>false</LinksUpToDate>
  <CharactersWithSpaces>1872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2022-01-10T06:25:00Z</dcterms:created>
  <dc:creator>lenovo</dc:creator>
  <cp:lastModifiedBy>Fiona</cp:lastModifiedBy>
  <cp:lastPrinted>2025-01-16T07:00:00Z</cp:lastPrinted>
  <dcterms:modified xsi:type="dcterms:W3CDTF">2026-01-15T01:05:33Z</dcterms:modified>
  <dc:title>井陉县人民政府办公室</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8AF8E08F753F4C42810C5260ACBA1363_13</vt:lpwstr>
  </property>
  <property fmtid="{D5CDD505-2E9C-101B-9397-08002B2CF9AE}" pid="4" name="KSOTemplateDocerSaveRecord">
    <vt:lpwstr>eyJoZGlkIjoiZmNlYjhkODkzODVhZDQxZTIyOGFkZGVhMzBkNTUzZmEiLCJ1c2VySWQiOiIyNDgyNjgxOTkifQ==</vt:lpwstr>
  </property>
</Properties>
</file>