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F9AF80">
      <w:pPr>
        <w:widowControl w:val="0"/>
        <w:wordWrap/>
        <w:adjustRightInd/>
        <w:snapToGrid/>
        <w:spacing w:line="600" w:lineRule="exact"/>
        <w:jc w:val="center"/>
        <w:textAlignment w:val="auto"/>
        <w:rPr>
          <w:rFonts w:hint="eastAsia" w:ascii="方正小标宋简体" w:hAnsi="方正小标宋简体" w:eastAsia="方正小标宋简体" w:cs="方正小标宋简体"/>
          <w:b w:val="0"/>
          <w:i w:val="0"/>
          <w:caps w:val="0"/>
          <w:color w:val="212121"/>
          <w:spacing w:val="0"/>
          <w:sz w:val="44"/>
          <w:szCs w:val="44"/>
          <w:shd w:val="clear" w:color="080000" w:fill="FFFFFF"/>
          <w:lang w:val="en-US" w:eastAsia="zh-CN"/>
        </w:rPr>
      </w:pPr>
      <w:bookmarkStart w:id="0" w:name="_GoBack"/>
      <w:r>
        <w:rPr>
          <w:rFonts w:hint="eastAsia" w:ascii="方正小标宋简体" w:hAnsi="方正小标宋简体" w:eastAsia="方正小标宋简体" w:cs="方正小标宋简体"/>
          <w:b w:val="0"/>
          <w:i w:val="0"/>
          <w:caps w:val="0"/>
          <w:color w:val="212121"/>
          <w:spacing w:val="0"/>
          <w:sz w:val="44"/>
          <w:szCs w:val="44"/>
          <w:shd w:val="clear" w:color="080000" w:fill="FFFFFF"/>
          <w:lang w:val="en-US" w:eastAsia="zh-CN"/>
        </w:rPr>
        <w:t>井陉县南障城镇人民政府</w:t>
      </w:r>
    </w:p>
    <w:p w14:paraId="2F6F6FC0">
      <w:pPr>
        <w:widowControl w:val="0"/>
        <w:wordWrap/>
        <w:adjustRightInd/>
        <w:snapToGrid/>
        <w:spacing w:line="600" w:lineRule="exact"/>
        <w:jc w:val="center"/>
        <w:textAlignment w:val="auto"/>
        <w:rPr>
          <w:rFonts w:hint="eastAsia" w:ascii="方正小标宋简体" w:hAnsi="方正小标宋简体" w:eastAsia="方正小标宋简体" w:cs="方正小标宋简体"/>
          <w:b w:val="0"/>
          <w:i w:val="0"/>
          <w:caps w:val="0"/>
          <w:color w:val="212121"/>
          <w:spacing w:val="0"/>
          <w:sz w:val="44"/>
          <w:szCs w:val="44"/>
          <w:shd w:val="clear" w:color="080000" w:fill="FFFFFF"/>
        </w:rPr>
      </w:pPr>
      <w:r>
        <w:rPr>
          <w:rFonts w:hint="eastAsia" w:ascii="方正小标宋简体" w:hAnsi="方正小标宋简体" w:eastAsia="方正小标宋简体" w:cs="方正小标宋简体"/>
          <w:b w:val="0"/>
          <w:i w:val="0"/>
          <w:caps w:val="0"/>
          <w:color w:val="212121"/>
          <w:spacing w:val="0"/>
          <w:sz w:val="44"/>
          <w:szCs w:val="44"/>
          <w:shd w:val="clear" w:color="080000" w:fill="FFFFFF"/>
          <w:lang w:val="en-US" w:eastAsia="zh-CN"/>
        </w:rPr>
        <w:t>2025年政府信息公开工作年度报告</w:t>
      </w:r>
    </w:p>
    <w:bookmarkEnd w:id="0"/>
    <w:p w14:paraId="3D230A4A">
      <w:pPr>
        <w:widowControl w:val="0"/>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p>
    <w:p w14:paraId="2369D060">
      <w:pPr>
        <w:widowControl w:val="0"/>
        <w:numPr>
          <w:ilvl w:val="0"/>
          <w:numId w:val="1"/>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总体情况</w:t>
      </w:r>
    </w:p>
    <w:p w14:paraId="2C924276">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方正仿宋简体" w:hAnsi="方正仿宋简体" w:eastAsia="方正仿宋简体" w:cs="方正仿宋简体"/>
          <w:i w:val="0"/>
          <w:caps w:val="0"/>
          <w:color w:val="000000"/>
          <w:spacing w:val="0"/>
          <w:kern w:val="0"/>
          <w:sz w:val="32"/>
          <w:szCs w:val="32"/>
          <w:shd w:val="clear" w:fill="FFFFFF"/>
          <w:lang w:val="en-US" w:eastAsia="zh-CN" w:bidi="ar-SA"/>
        </w:rPr>
      </w:pPr>
      <w:r>
        <w:rPr>
          <w:rFonts w:hint="eastAsia" w:ascii="方正仿宋简体" w:hAnsi="方正仿宋简体" w:eastAsia="方正仿宋简体" w:cs="方正仿宋简体"/>
          <w:i w:val="0"/>
          <w:caps w:val="0"/>
          <w:color w:val="000000"/>
          <w:spacing w:val="0"/>
          <w:kern w:val="0"/>
          <w:sz w:val="32"/>
          <w:szCs w:val="32"/>
          <w:shd w:val="clear" w:fill="FFFFFF"/>
          <w:lang w:val="en-US" w:eastAsia="zh-CN" w:bidi="ar-SA"/>
        </w:rPr>
        <w:t>本报告依据《中华人民共和国政府信息公开条例》及相关规定编制，涵盖2025年南障城镇政府信息公开总体情况等内容，数据统计时段为2025年1月1日至12月31日。2025年，我镇重点开展以下工作：</w:t>
      </w:r>
    </w:p>
    <w:p w14:paraId="518244E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20" w:firstLineChars="200"/>
        <w:jc w:val="left"/>
        <w:textAlignment w:val="auto"/>
        <w:rPr>
          <w:rFonts w:hint="eastAsia" w:ascii="楷体_GB2312" w:hAnsi="楷体_GB2312" w:eastAsia="楷体_GB2312" w:cs="楷体_GB2312"/>
          <w:i w:val="0"/>
          <w:caps w:val="0"/>
          <w:color w:val="000000"/>
          <w:spacing w:val="0"/>
          <w:kern w:val="0"/>
          <w:sz w:val="18"/>
          <w:szCs w:val="18"/>
          <w:lang w:val="en-US" w:eastAsia="zh-CN" w:bidi="ar-SA"/>
        </w:rPr>
      </w:pPr>
      <w:r>
        <w:rPr>
          <w:rFonts w:hint="eastAsia" w:ascii="楷体_GB2312" w:hAnsi="楷体_GB2312" w:eastAsia="楷体_GB2312" w:cs="楷体_GB2312"/>
          <w:i w:val="0"/>
          <w:caps w:val="0"/>
          <w:color w:val="000000"/>
          <w:spacing w:val="0"/>
          <w:kern w:val="0"/>
          <w:sz w:val="31"/>
          <w:szCs w:val="31"/>
          <w:shd w:val="clear" w:fill="FFFFFF"/>
          <w:lang w:val="en-US" w:eastAsia="zh-CN" w:bidi="ar-SA"/>
        </w:rPr>
        <w:t>（一）强化组织领导，健全工作机制</w:t>
      </w:r>
    </w:p>
    <w:p w14:paraId="59092BB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pPr>
      <w:r>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t>我镇高度重视政府信息公开工作，始终将其纳入重要议事日程，成立工作领导小组，进一步明晰职责分工，同时健全信息采集、审核、发布全流程工作机制，严格落实公开属性审核要求，确保政务公开工作规范高效推进。</w:t>
      </w:r>
    </w:p>
    <w:p w14:paraId="5866D09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20" w:firstLineChars="200"/>
        <w:jc w:val="left"/>
        <w:textAlignment w:val="auto"/>
        <w:rPr>
          <w:rFonts w:hint="eastAsia" w:ascii="楷体_GB2312" w:hAnsi="楷体_GB2312" w:eastAsia="楷体_GB2312" w:cs="楷体_GB2312"/>
          <w:i w:val="0"/>
          <w:caps w:val="0"/>
          <w:color w:val="000000"/>
          <w:spacing w:val="0"/>
          <w:kern w:val="0"/>
          <w:sz w:val="18"/>
          <w:szCs w:val="18"/>
          <w:lang w:val="en-US" w:eastAsia="zh-CN" w:bidi="ar-SA"/>
        </w:rPr>
      </w:pPr>
      <w:r>
        <w:rPr>
          <w:rFonts w:hint="eastAsia" w:ascii="楷体_GB2312" w:hAnsi="楷体_GB2312" w:eastAsia="楷体_GB2312" w:cs="楷体_GB2312"/>
          <w:i w:val="0"/>
          <w:caps w:val="0"/>
          <w:color w:val="000000"/>
          <w:spacing w:val="0"/>
          <w:kern w:val="0"/>
          <w:sz w:val="31"/>
          <w:szCs w:val="31"/>
          <w:shd w:val="clear" w:fill="FFFFFF"/>
          <w:lang w:val="en-US" w:eastAsia="zh-CN" w:bidi="ar-SA"/>
        </w:rPr>
        <w:t>（二）规范公开内容，提升信息质量</w:t>
      </w:r>
    </w:p>
    <w:p w14:paraId="5C1E487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pPr>
      <w:r>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t>我镇持续完善政府信息公开的范围、内容、形式及制度体系，充实公开内容，确保公开信息精准对接群众需求，全面符合规范要求。</w:t>
      </w:r>
    </w:p>
    <w:p w14:paraId="0F6AD5D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i w:val="0"/>
          <w:caps w:val="0"/>
          <w:color w:val="000000"/>
          <w:spacing w:val="0"/>
          <w:kern w:val="0"/>
          <w:sz w:val="32"/>
          <w:szCs w:val="32"/>
          <w:shd w:val="clear" w:fill="FFFFFF"/>
          <w:lang w:val="en-US" w:eastAsia="zh-CN" w:bidi="ar-SA"/>
        </w:rPr>
      </w:pPr>
      <w:r>
        <w:rPr>
          <w:rFonts w:hint="eastAsia" w:ascii="楷体_GB2312" w:hAnsi="楷体_GB2312" w:eastAsia="楷体_GB2312" w:cs="楷体_GB2312"/>
          <w:i w:val="0"/>
          <w:caps w:val="0"/>
          <w:color w:val="000000"/>
          <w:spacing w:val="0"/>
          <w:kern w:val="0"/>
          <w:sz w:val="32"/>
          <w:szCs w:val="32"/>
          <w:shd w:val="clear" w:fill="FFFFFF"/>
          <w:lang w:val="en-US" w:eastAsia="zh-CN" w:bidi="ar-SA"/>
        </w:rPr>
        <w:t>（三）拓宽公开渠道，做好信息发布</w:t>
      </w:r>
    </w:p>
    <w:p w14:paraId="548B5590">
      <w:pPr>
        <w:numPr>
          <w:ilvl w:val="0"/>
          <w:numId w:val="0"/>
        </w:numPr>
        <w:wordWrap/>
        <w:adjustRightInd/>
        <w:snapToGrid/>
        <w:spacing w:line="600" w:lineRule="exact"/>
        <w:ind w:leftChars="200" w:firstLine="320" w:firstLineChars="100"/>
        <w:textAlignment w:val="auto"/>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pPr>
      <w:r>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t>采取政务公开栏公示与井陉县人民政府信息网站发布相结合的方式推进信息公开工作。2025年，通过井陉县人民政府信息网站累计发布信息约77条，重点公开社会保障、行政服务等领域内容，切实保障群众的知情权与监督权。</w:t>
      </w:r>
    </w:p>
    <w:p w14:paraId="58DEA2B0">
      <w:pPr>
        <w:numPr>
          <w:ilvl w:val="0"/>
          <w:numId w:val="0"/>
        </w:numPr>
        <w:wordWrap/>
        <w:adjustRightInd/>
        <w:snapToGrid/>
        <w:spacing w:line="600" w:lineRule="exact"/>
        <w:ind w:leftChars="200" w:firstLine="320" w:firstLineChars="1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二、主动公开政府信息情况</w:t>
      </w:r>
    </w:p>
    <w:tbl>
      <w:tblPr>
        <w:tblStyle w:val="2"/>
        <w:tblW w:w="84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2130"/>
        <w:gridCol w:w="885"/>
        <w:gridCol w:w="165"/>
        <w:gridCol w:w="1740"/>
        <w:gridCol w:w="1485"/>
        <w:gridCol w:w="2053"/>
      </w:tblGrid>
      <w:tr w14:paraId="09A47EA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single" w:color="auto" w:sz="6" w:space="0"/>
              <w:left w:val="single" w:color="auto" w:sz="6" w:space="0"/>
              <w:bottom w:val="single" w:color="auto" w:sz="6" w:space="0"/>
              <w:right w:val="single" w:color="auto" w:sz="6" w:space="0"/>
            </w:tcBorders>
            <w:vAlign w:val="center"/>
          </w:tcPr>
          <w:p w14:paraId="44A983B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第二十条第（一）项</w:t>
            </w:r>
          </w:p>
        </w:tc>
      </w:tr>
      <w:tr w14:paraId="467DF40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14:paraId="699F878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信息内容</w:t>
            </w:r>
          </w:p>
        </w:tc>
        <w:tc>
          <w:tcPr>
            <w:tcW w:w="1905" w:type="dxa"/>
            <w:gridSpan w:val="2"/>
            <w:tcBorders>
              <w:top w:val="single" w:color="auto" w:sz="6" w:space="0"/>
              <w:left w:val="nil"/>
              <w:bottom w:val="single" w:color="auto" w:sz="6" w:space="0"/>
              <w:right w:val="single" w:color="auto" w:sz="6" w:space="0"/>
            </w:tcBorders>
            <w:vAlign w:val="center"/>
          </w:tcPr>
          <w:p w14:paraId="466258B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本年制发件数</w:t>
            </w:r>
          </w:p>
        </w:tc>
        <w:tc>
          <w:tcPr>
            <w:tcW w:w="1485" w:type="dxa"/>
            <w:tcBorders>
              <w:top w:val="single" w:color="auto" w:sz="6" w:space="0"/>
              <w:left w:val="nil"/>
              <w:bottom w:val="single" w:color="auto" w:sz="6" w:space="0"/>
              <w:right w:val="single" w:color="auto" w:sz="6" w:space="0"/>
            </w:tcBorders>
            <w:vAlign w:val="center"/>
          </w:tcPr>
          <w:p w14:paraId="0A674EE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本年废止件数</w:t>
            </w:r>
          </w:p>
        </w:tc>
        <w:tc>
          <w:tcPr>
            <w:tcW w:w="2053" w:type="dxa"/>
            <w:tcBorders>
              <w:top w:val="single" w:color="auto" w:sz="6" w:space="0"/>
              <w:left w:val="nil"/>
              <w:bottom w:val="single" w:color="auto" w:sz="6" w:space="0"/>
              <w:right w:val="single" w:color="auto" w:sz="6" w:space="0"/>
            </w:tcBorders>
            <w:vAlign w:val="center"/>
          </w:tcPr>
          <w:p w14:paraId="5A04F94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现行有效件数</w:t>
            </w:r>
          </w:p>
        </w:tc>
      </w:tr>
      <w:tr w14:paraId="13B972C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14:paraId="337ACD7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规章</w:t>
            </w:r>
          </w:p>
        </w:tc>
        <w:tc>
          <w:tcPr>
            <w:tcW w:w="1905" w:type="dxa"/>
            <w:gridSpan w:val="2"/>
            <w:tcBorders>
              <w:top w:val="nil"/>
              <w:left w:val="nil"/>
              <w:bottom w:val="single" w:color="auto" w:sz="6" w:space="0"/>
              <w:right w:val="single" w:color="auto" w:sz="6" w:space="0"/>
            </w:tcBorders>
            <w:vAlign w:val="center"/>
          </w:tcPr>
          <w:p w14:paraId="6E45C1B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1485" w:type="dxa"/>
            <w:tcBorders>
              <w:top w:val="nil"/>
              <w:left w:val="nil"/>
              <w:bottom w:val="single" w:color="auto" w:sz="6" w:space="0"/>
              <w:right w:val="single" w:color="auto" w:sz="6" w:space="0"/>
            </w:tcBorders>
            <w:vAlign w:val="center"/>
          </w:tcPr>
          <w:p w14:paraId="45D1D03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2053" w:type="dxa"/>
            <w:tcBorders>
              <w:top w:val="nil"/>
              <w:left w:val="nil"/>
              <w:bottom w:val="single" w:color="auto" w:sz="6" w:space="0"/>
              <w:right w:val="single" w:color="auto" w:sz="6" w:space="0"/>
            </w:tcBorders>
            <w:vAlign w:val="center"/>
          </w:tcPr>
          <w:p w14:paraId="09092DA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18718D0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14:paraId="7B94CA4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规范性文件</w:t>
            </w:r>
          </w:p>
        </w:tc>
        <w:tc>
          <w:tcPr>
            <w:tcW w:w="1905" w:type="dxa"/>
            <w:gridSpan w:val="2"/>
            <w:tcBorders>
              <w:top w:val="nil"/>
              <w:left w:val="nil"/>
              <w:bottom w:val="single" w:color="auto" w:sz="6" w:space="0"/>
              <w:right w:val="single" w:color="auto" w:sz="6" w:space="0"/>
            </w:tcBorders>
            <w:vAlign w:val="center"/>
          </w:tcPr>
          <w:p w14:paraId="074B513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1485" w:type="dxa"/>
            <w:tcBorders>
              <w:top w:val="nil"/>
              <w:left w:val="nil"/>
              <w:bottom w:val="single" w:color="auto" w:sz="6" w:space="0"/>
              <w:right w:val="single" w:color="auto" w:sz="6" w:space="0"/>
            </w:tcBorders>
            <w:vAlign w:val="center"/>
          </w:tcPr>
          <w:p w14:paraId="335DEA0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2053" w:type="dxa"/>
            <w:tcBorders>
              <w:top w:val="nil"/>
              <w:left w:val="nil"/>
              <w:bottom w:val="single" w:color="auto" w:sz="6" w:space="0"/>
              <w:right w:val="single" w:color="auto" w:sz="6" w:space="0"/>
            </w:tcBorders>
            <w:vAlign w:val="center"/>
          </w:tcPr>
          <w:p w14:paraId="30CD8C3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25A0073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14:paraId="4365C3A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第二十条第（五）项</w:t>
            </w:r>
          </w:p>
        </w:tc>
      </w:tr>
      <w:tr w14:paraId="3E42CB1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180" w:type="dxa"/>
            <w:gridSpan w:val="3"/>
            <w:tcBorders>
              <w:top w:val="nil"/>
              <w:left w:val="single" w:color="auto" w:sz="6" w:space="0"/>
              <w:bottom w:val="single" w:color="auto" w:sz="6" w:space="0"/>
              <w:right w:val="single" w:color="auto" w:sz="6" w:space="0"/>
            </w:tcBorders>
            <w:vAlign w:val="center"/>
          </w:tcPr>
          <w:p w14:paraId="2A450EB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信息内容</w:t>
            </w:r>
          </w:p>
        </w:tc>
        <w:tc>
          <w:tcPr>
            <w:tcW w:w="5278" w:type="dxa"/>
            <w:gridSpan w:val="3"/>
            <w:tcBorders>
              <w:top w:val="single" w:color="auto" w:sz="6" w:space="0"/>
              <w:left w:val="nil"/>
              <w:bottom w:val="single" w:color="auto" w:sz="6" w:space="0"/>
              <w:right w:val="single" w:color="auto" w:sz="6" w:space="0"/>
            </w:tcBorders>
            <w:vAlign w:val="center"/>
          </w:tcPr>
          <w:p w14:paraId="5829561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本年处理决定数量</w:t>
            </w:r>
          </w:p>
        </w:tc>
      </w:tr>
      <w:tr w14:paraId="032D28D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vAlign w:val="center"/>
          </w:tcPr>
          <w:p w14:paraId="3FBC5B7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行政许可</w:t>
            </w:r>
          </w:p>
        </w:tc>
        <w:tc>
          <w:tcPr>
            <w:tcW w:w="5278" w:type="dxa"/>
            <w:gridSpan w:val="3"/>
            <w:tcBorders>
              <w:top w:val="nil"/>
              <w:left w:val="nil"/>
              <w:bottom w:val="single" w:color="auto" w:sz="6" w:space="0"/>
              <w:right w:val="single" w:color="auto" w:sz="6" w:space="0"/>
            </w:tcBorders>
            <w:vAlign w:val="center"/>
          </w:tcPr>
          <w:p w14:paraId="57F0182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66</w:t>
            </w:r>
          </w:p>
        </w:tc>
      </w:tr>
      <w:tr w14:paraId="5296FB1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14:paraId="78289B2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第二十条第（六）项</w:t>
            </w:r>
          </w:p>
        </w:tc>
      </w:tr>
      <w:tr w14:paraId="3777D85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434D48C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信息内容</w:t>
            </w:r>
          </w:p>
        </w:tc>
        <w:tc>
          <w:tcPr>
            <w:tcW w:w="6328" w:type="dxa"/>
            <w:gridSpan w:val="5"/>
            <w:tcBorders>
              <w:top w:val="single" w:color="auto" w:sz="6" w:space="0"/>
              <w:left w:val="nil"/>
              <w:bottom w:val="single" w:color="auto" w:sz="6" w:space="0"/>
              <w:right w:val="single" w:color="auto" w:sz="6" w:space="0"/>
            </w:tcBorders>
            <w:vAlign w:val="center"/>
          </w:tcPr>
          <w:p w14:paraId="41C6484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本年处理决定数量</w:t>
            </w:r>
          </w:p>
        </w:tc>
      </w:tr>
      <w:tr w14:paraId="70B1072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270A0AC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行政处罚</w:t>
            </w:r>
          </w:p>
        </w:tc>
        <w:tc>
          <w:tcPr>
            <w:tcW w:w="6328" w:type="dxa"/>
            <w:gridSpan w:val="5"/>
            <w:tcBorders>
              <w:top w:val="nil"/>
              <w:left w:val="nil"/>
              <w:bottom w:val="single" w:color="auto" w:sz="6" w:space="0"/>
              <w:right w:val="single" w:color="auto" w:sz="6" w:space="0"/>
            </w:tcBorders>
            <w:vAlign w:val="center"/>
          </w:tcPr>
          <w:p w14:paraId="2708886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color w:val="FF0000"/>
                <w:kern w:val="0"/>
                <w:sz w:val="18"/>
                <w:szCs w:val="18"/>
                <w:lang w:val="en-US" w:eastAsia="zh-CN" w:bidi="ar-SA"/>
              </w:rPr>
              <w:t>9</w:t>
            </w:r>
          </w:p>
        </w:tc>
      </w:tr>
      <w:tr w14:paraId="567AA55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 w:hRule="atLeast"/>
        </w:trPr>
        <w:tc>
          <w:tcPr>
            <w:tcW w:w="2130" w:type="dxa"/>
            <w:tcBorders>
              <w:top w:val="nil"/>
              <w:left w:val="single" w:color="auto" w:sz="6" w:space="0"/>
              <w:bottom w:val="single" w:color="auto" w:sz="6" w:space="0"/>
              <w:right w:val="single" w:color="auto" w:sz="6" w:space="0"/>
            </w:tcBorders>
            <w:vAlign w:val="center"/>
          </w:tcPr>
          <w:p w14:paraId="735E1D3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行政强制</w:t>
            </w:r>
          </w:p>
        </w:tc>
        <w:tc>
          <w:tcPr>
            <w:tcW w:w="6328" w:type="dxa"/>
            <w:gridSpan w:val="5"/>
            <w:tcBorders>
              <w:top w:val="nil"/>
              <w:left w:val="nil"/>
              <w:bottom w:val="single" w:color="auto" w:sz="6" w:space="0"/>
              <w:right w:val="single" w:color="auto" w:sz="6" w:space="0"/>
            </w:tcBorders>
            <w:vAlign w:val="center"/>
          </w:tcPr>
          <w:p w14:paraId="4311641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05B2A2D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14:paraId="69178BF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第二十条第（八）项</w:t>
            </w:r>
          </w:p>
        </w:tc>
      </w:tr>
      <w:tr w14:paraId="7072712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405EA3E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信息内容</w:t>
            </w:r>
          </w:p>
        </w:tc>
        <w:tc>
          <w:tcPr>
            <w:tcW w:w="6328" w:type="dxa"/>
            <w:gridSpan w:val="5"/>
            <w:tcBorders>
              <w:top w:val="single" w:color="auto" w:sz="6" w:space="0"/>
              <w:left w:val="nil"/>
              <w:bottom w:val="single" w:color="auto" w:sz="6" w:space="0"/>
              <w:right w:val="single" w:color="auto" w:sz="6" w:space="0"/>
            </w:tcBorders>
            <w:vAlign w:val="center"/>
          </w:tcPr>
          <w:p w14:paraId="4A3DBDA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本年收费金额（单位：万元）</w:t>
            </w:r>
          </w:p>
        </w:tc>
      </w:tr>
      <w:tr w14:paraId="6E440D9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1E6F74F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行政事业性收费</w:t>
            </w:r>
          </w:p>
        </w:tc>
        <w:tc>
          <w:tcPr>
            <w:tcW w:w="6328" w:type="dxa"/>
            <w:gridSpan w:val="5"/>
            <w:tcBorders>
              <w:top w:val="nil"/>
              <w:left w:val="nil"/>
              <w:bottom w:val="single" w:color="auto" w:sz="6" w:space="0"/>
              <w:right w:val="single" w:color="auto" w:sz="6" w:space="0"/>
            </w:tcBorders>
            <w:vAlign w:val="center"/>
          </w:tcPr>
          <w:p w14:paraId="3D03A39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bl>
    <w:p w14:paraId="5B942926">
      <w:pPr>
        <w:widowControl w:val="0"/>
        <w:wordWrap/>
        <w:adjustRightInd/>
        <w:snapToGrid/>
        <w:spacing w:line="600" w:lineRule="exact"/>
        <w:ind w:left="0" w:leftChars="0" w:firstLine="0" w:firstLineChars="0"/>
        <w:jc w:val="both"/>
        <w:textAlignment w:val="auto"/>
        <w:rPr>
          <w:rFonts w:hint="eastAsia" w:ascii="Calibri" w:hAnsi="Calibri" w:eastAsia="宋体" w:cs="黑体"/>
          <w:kern w:val="2"/>
          <w:sz w:val="32"/>
          <w:szCs w:val="32"/>
          <w:lang w:val="en-US" w:eastAsia="zh-CN" w:bidi="ar-SA"/>
        </w:rPr>
      </w:pPr>
    </w:p>
    <w:p w14:paraId="2A077905">
      <w:pPr>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三、收到和处理政府信息公开申请情况</w:t>
      </w:r>
    </w:p>
    <w:tbl>
      <w:tblPr>
        <w:tblStyle w:val="2"/>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
      <w:tblGrid>
        <w:gridCol w:w="716"/>
        <w:gridCol w:w="880"/>
        <w:gridCol w:w="2507"/>
        <w:gridCol w:w="785"/>
        <w:gridCol w:w="703"/>
        <w:gridCol w:w="703"/>
        <w:gridCol w:w="900"/>
        <w:gridCol w:w="900"/>
        <w:gridCol w:w="434"/>
        <w:gridCol w:w="543"/>
      </w:tblGrid>
      <w:tr w14:paraId="3CA0DEC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vMerge w:val="restar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381CAE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（本列数据的勾稽关系为：第一项加第二项之和，等于第三项加第四项之和）</w:t>
            </w:r>
          </w:p>
        </w:tc>
        <w:tc>
          <w:tcPr>
            <w:tcW w:w="4968" w:type="dxa"/>
            <w:gridSpan w:val="7"/>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5F4403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申请人情况</w:t>
            </w:r>
          </w:p>
        </w:tc>
      </w:tr>
      <w:tr w14:paraId="79C54E7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B76DA3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785"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EEC103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自然人</w:t>
            </w:r>
          </w:p>
        </w:tc>
        <w:tc>
          <w:tcPr>
            <w:tcW w:w="3640" w:type="dxa"/>
            <w:gridSpan w:val="5"/>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D56957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1CAF47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总计</w:t>
            </w:r>
          </w:p>
        </w:tc>
      </w:tr>
      <w:tr w14:paraId="6D33A20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BB86E9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785"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73134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F6ECF2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商业企业</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8FEF22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科研机构</w:t>
            </w:r>
          </w:p>
        </w:tc>
        <w:tc>
          <w:tcPr>
            <w:tcW w:w="900"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A6012D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社会公益组织</w:t>
            </w:r>
          </w:p>
        </w:tc>
        <w:tc>
          <w:tcPr>
            <w:tcW w:w="900"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0C539C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法律服务机构</w:t>
            </w:r>
          </w:p>
        </w:tc>
        <w:tc>
          <w:tcPr>
            <w:tcW w:w="434"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D87632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其他</w:t>
            </w:r>
          </w:p>
        </w:tc>
        <w:tc>
          <w:tcPr>
            <w:tcW w:w="543" w:type="dxa"/>
            <w:vMerge w:val="continue"/>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730579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r>
      <w:tr w14:paraId="624252D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01847D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一、本年新收政府信息公开申请数量</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1C3954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4A41C3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6AE275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C16B2B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89297C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5520A0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C4773D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0987A95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1275B4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二、上年结转政府信息公开申请数量</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1FB2F0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3B43A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7D6DB0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D5AF09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E7B942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F14641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218114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75DB911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0ACF67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三、本年度办理结果</w:t>
            </w: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A111BD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（一）予已公开</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1C865A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5E22A3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3E406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DF736C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0DDE0C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196E48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D4B66D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472C58A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EDB354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F2814B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（二）部分公开（区分处理的，只计这一情形，不计其他情形）</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3F7794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5CB70C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4BF00F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05A544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2C58FD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5002B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A7D72D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3E20994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792FBD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21EA7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（三）</w:t>
            </w:r>
          </w:p>
          <w:p w14:paraId="6189689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不予</w:t>
            </w:r>
          </w:p>
          <w:p w14:paraId="6F02E5F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公开</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20EBF0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1.属于国家秘密</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BF1051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ED2554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70265C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EC0851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FCCA16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62105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7BE3D7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0ADE0E7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7EDEA0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CB3024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F00A703">
            <w:pPr>
              <w:widowControl/>
              <w:numPr>
                <w:ilvl w:val="0"/>
                <w:numId w:val="2"/>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其他法律行政法规禁止公开</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2D2295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CAB22E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92E1D2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3E60A6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999200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450339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3DF063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7B8046F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B00C03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475F60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E495A2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3.危及“三安全一稳定”</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9AF25E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A6C2E4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774A37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8BC36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05F8E1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8760BA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772AF9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6F16050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1A9569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9B30C8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8140BF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4.保护第三方合法权益</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BCB388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C1F2C4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84FC5A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26F0FA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0607FA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AF4A6A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07888F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407AA37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B597A3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2E2511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0753F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5.属于三类内部事务信息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C8914B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3A238D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0ED7D4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E2E512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79F624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26BDFD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11EE50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542BE2B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C6114C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E7AEBD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E2EF2F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6.属于四类过程性信息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49F934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983CA0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4A61C0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654471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7D0C54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6505AA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954CFD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336D0DD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144F89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63FD6A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B41C0B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7.属于行政执法案卷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93ACAE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AE1174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6F5A14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032570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77F99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6F8689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164249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49F2576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188A22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946FEC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2EA391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8.属于行政查询事项</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F02D68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402606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292920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4FD8C6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DC7258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0536FD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B41D16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71C72D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DFC027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741DCA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（四）</w:t>
            </w:r>
          </w:p>
          <w:p w14:paraId="319BFEF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无法</w:t>
            </w:r>
          </w:p>
          <w:p w14:paraId="732E60D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提供</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A48F1D1">
            <w:pPr>
              <w:widowControl/>
              <w:numPr>
                <w:ilvl w:val="0"/>
                <w:numId w:val="3"/>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本机关不掌握相关政府</w:t>
            </w:r>
          </w:p>
          <w:p w14:paraId="31EFD1D8">
            <w:pPr>
              <w:widowControl/>
              <w:numPr>
                <w:ilvl w:val="0"/>
                <w:numId w:val="0"/>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D5E7E4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22650A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3D7D23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5F04BB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717B4B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0E8DA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7ECE9D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4A90B50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7ED6D9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5EE8F7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7214F6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2.没有现成信息需要另行制作</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5DFEE1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2BF859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9F5E42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347344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52DA86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D750AD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820BA1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14E6E6B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5174CB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7CA9FE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0FF977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3.补正后申请内容仍不明确</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AC0E53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C2F771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2952B8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1C5003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9F7CD8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FCCD20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F31C23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0028573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318B85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D2E4E7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（五）</w:t>
            </w:r>
          </w:p>
          <w:p w14:paraId="4A352A3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不予</w:t>
            </w:r>
          </w:p>
          <w:p w14:paraId="779BAC7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处理</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BD659A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1.信访举报投诉类申请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841BCF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3FCD23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CF89A0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910363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61F2E1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06018D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4A1DFA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2283158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7B7680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2D64A3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19BCBB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2.重复申请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8C2E48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21331A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65044E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924A9F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8F0695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CFB85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2758FA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37D913A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4B4C6E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CF0E72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28C1E0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3.要求提供公开出版物</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6AF6FE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E0989A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4C9625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47EE98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A9DF90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35D190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FB02D5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4AC0C0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8AF5A5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120014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FF5D45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4.无正当理由大量反复申请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F75361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A455D5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7FB143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B0791C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71E899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A9EBC7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2A7A45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305291C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829F83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352A8A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219EB2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5.要求行政机关确认或重新出具已获取信息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1E663E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761D3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D95970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5CE1DE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BF0EC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8B233F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63E9EE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7A39E9D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57D234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restart"/>
            <w:tcBorders>
              <w:top w:val="nil"/>
              <w:left w:val="nil"/>
              <w:right w:val="single" w:color="auto" w:sz="8" w:space="0"/>
            </w:tcBorders>
            <w:shd w:val="clear" w:color="auto" w:fill="FFFFFF"/>
            <w:tcMar>
              <w:top w:w="0" w:type="dxa"/>
              <w:left w:w="108" w:type="dxa"/>
              <w:bottom w:w="0" w:type="dxa"/>
              <w:right w:w="108" w:type="dxa"/>
            </w:tcMar>
            <w:vAlign w:val="center"/>
          </w:tcPr>
          <w:p w14:paraId="58787A4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（六）</w:t>
            </w:r>
          </w:p>
          <w:p w14:paraId="27213DB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其他</w:t>
            </w:r>
          </w:p>
          <w:p w14:paraId="15614FC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处理</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5A1736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1.申请人无正当理由逾期不补正、行政机关不再处理其政府信息公开申请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88240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0A0E76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035BFF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1760D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B7005D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1CF263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603EE0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0DBA014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16E99C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left w:val="nil"/>
              <w:right w:val="single" w:color="auto" w:sz="8" w:space="0"/>
            </w:tcBorders>
            <w:shd w:val="clear" w:color="auto" w:fill="FFFFFF"/>
            <w:tcMar>
              <w:top w:w="0" w:type="dxa"/>
              <w:left w:w="108" w:type="dxa"/>
              <w:bottom w:w="0" w:type="dxa"/>
              <w:right w:w="108" w:type="dxa"/>
            </w:tcMar>
            <w:vAlign w:val="center"/>
          </w:tcPr>
          <w:p w14:paraId="4EF4556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B41543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2.申请人逾期未按收费通知要求缴纳费用、行政机关不再处理其政府信息公开申请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E7E972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323805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A9D4E8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AA88C4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9DDB9E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0EB3DB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62B0BE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24E5FC8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A3F4039">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880" w:type="dxa"/>
            <w:vMerge w:val="continue"/>
            <w:tcBorders>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2FF64B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4AC535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3.其他</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D96071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4A3ABF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BDACE7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4DB956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4FA6CC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473954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FB79C2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4EAF444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324"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595953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5187B9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（七）总计</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1B553A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36B03A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C97039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0B2398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FA2624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BFB650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F2E98D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r w14:paraId="758CB01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7C1384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四、结转下年度继续办理</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195F4C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13E5D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FE9826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393080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091BC6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0A2104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34EAF0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bl>
    <w:p w14:paraId="4A67CB73">
      <w:pPr>
        <w:widowControl w:val="0"/>
        <w:wordWrap/>
        <w:adjustRightInd/>
        <w:snapToGrid/>
        <w:spacing w:line="600" w:lineRule="exact"/>
        <w:ind w:left="0" w:leftChars="0" w:firstLine="0" w:firstLineChars="0"/>
        <w:jc w:val="both"/>
        <w:textAlignment w:val="auto"/>
        <w:rPr>
          <w:rFonts w:hint="eastAsia" w:ascii="Calibri" w:hAnsi="Calibri" w:eastAsia="宋体" w:cs="黑体"/>
          <w:kern w:val="2"/>
          <w:sz w:val="21"/>
          <w:szCs w:val="24"/>
          <w:lang w:val="en-US" w:eastAsia="zh-CN" w:bidi="ar-SA"/>
        </w:rPr>
      </w:pPr>
    </w:p>
    <w:p w14:paraId="61BF5EB3">
      <w:pPr>
        <w:widowControl w:val="0"/>
        <w:numPr>
          <w:ilvl w:val="0"/>
          <w:numId w:val="0"/>
        </w:numPr>
        <w:wordWrap/>
        <w:adjustRightInd/>
        <w:snapToGrid/>
        <w:spacing w:line="600" w:lineRule="exact"/>
        <w:ind w:left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四、政府信息公开行政复议、行政诉讼情况</w:t>
      </w:r>
    </w:p>
    <w:tbl>
      <w:tblPr>
        <w:tblStyle w:val="2"/>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14:paraId="1AC79A7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672" w:type="dxa"/>
            <w:gridSpan w:val="5"/>
            <w:tcBorders>
              <w:top w:val="single" w:color="auto" w:sz="6" w:space="0"/>
              <w:left w:val="single" w:color="auto" w:sz="6" w:space="0"/>
              <w:bottom w:val="single" w:color="auto" w:sz="6" w:space="0"/>
              <w:right w:val="single" w:color="auto" w:sz="6" w:space="0"/>
            </w:tcBorders>
            <w:vAlign w:val="center"/>
          </w:tcPr>
          <w:p w14:paraId="1B4F568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行政复议</w:t>
            </w:r>
          </w:p>
        </w:tc>
        <w:tc>
          <w:tcPr>
            <w:tcW w:w="5970" w:type="dxa"/>
            <w:gridSpan w:val="10"/>
            <w:tcBorders>
              <w:top w:val="single" w:color="auto" w:sz="6" w:space="0"/>
              <w:left w:val="nil"/>
              <w:bottom w:val="single" w:color="auto" w:sz="6" w:space="0"/>
              <w:right w:val="single" w:color="auto" w:sz="6" w:space="0"/>
            </w:tcBorders>
            <w:vAlign w:val="center"/>
          </w:tcPr>
          <w:p w14:paraId="02D9EDA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color w:val="auto"/>
                <w:kern w:val="0"/>
                <w:sz w:val="18"/>
                <w:szCs w:val="18"/>
                <w:highlight w:val="none"/>
                <w:lang w:val="en-US" w:eastAsia="zh-CN" w:bidi="ar-SA"/>
              </w:rPr>
              <w:t>行政诉讼</w:t>
            </w:r>
          </w:p>
        </w:tc>
      </w:tr>
      <w:tr w14:paraId="298D41C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vMerge w:val="restart"/>
            <w:tcBorders>
              <w:top w:val="nil"/>
              <w:left w:val="single" w:color="auto" w:sz="6" w:space="0"/>
              <w:bottom w:val="single" w:color="auto" w:sz="6" w:space="0"/>
              <w:right w:val="single" w:color="auto" w:sz="6" w:space="0"/>
            </w:tcBorders>
            <w:vAlign w:val="center"/>
          </w:tcPr>
          <w:p w14:paraId="493C287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结果维持</w:t>
            </w:r>
          </w:p>
        </w:tc>
        <w:tc>
          <w:tcPr>
            <w:tcW w:w="540" w:type="dxa"/>
            <w:vMerge w:val="restart"/>
            <w:tcBorders>
              <w:top w:val="nil"/>
              <w:left w:val="nil"/>
              <w:bottom w:val="single" w:color="auto" w:sz="6" w:space="0"/>
              <w:right w:val="single" w:color="auto" w:sz="6" w:space="0"/>
            </w:tcBorders>
            <w:vAlign w:val="center"/>
          </w:tcPr>
          <w:p w14:paraId="2761D7D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结果纠正</w:t>
            </w:r>
          </w:p>
        </w:tc>
        <w:tc>
          <w:tcPr>
            <w:tcW w:w="495" w:type="dxa"/>
            <w:vMerge w:val="restart"/>
            <w:tcBorders>
              <w:top w:val="single" w:color="auto" w:sz="6" w:space="0"/>
              <w:left w:val="nil"/>
              <w:bottom w:val="single" w:color="auto" w:sz="6" w:space="0"/>
              <w:right w:val="single" w:color="auto" w:sz="6" w:space="0"/>
            </w:tcBorders>
            <w:vAlign w:val="center"/>
          </w:tcPr>
          <w:p w14:paraId="105522E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其他结果</w:t>
            </w:r>
          </w:p>
        </w:tc>
        <w:tc>
          <w:tcPr>
            <w:tcW w:w="549" w:type="dxa"/>
            <w:vMerge w:val="restart"/>
            <w:tcBorders>
              <w:top w:val="single" w:color="auto" w:sz="6" w:space="0"/>
              <w:left w:val="nil"/>
              <w:bottom w:val="single" w:color="auto" w:sz="6" w:space="0"/>
              <w:right w:val="single" w:color="auto" w:sz="6" w:space="0"/>
            </w:tcBorders>
            <w:vAlign w:val="center"/>
          </w:tcPr>
          <w:p w14:paraId="285B6E2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尚未审结</w:t>
            </w:r>
          </w:p>
        </w:tc>
        <w:tc>
          <w:tcPr>
            <w:tcW w:w="548" w:type="dxa"/>
            <w:vMerge w:val="restart"/>
            <w:tcBorders>
              <w:top w:val="single" w:color="auto" w:sz="6" w:space="0"/>
              <w:left w:val="nil"/>
              <w:bottom w:val="single" w:color="auto" w:sz="6" w:space="0"/>
              <w:right w:val="single" w:color="auto" w:sz="6" w:space="0"/>
            </w:tcBorders>
            <w:vAlign w:val="center"/>
          </w:tcPr>
          <w:p w14:paraId="0E23F4D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总计</w:t>
            </w:r>
          </w:p>
        </w:tc>
        <w:tc>
          <w:tcPr>
            <w:tcW w:w="2985" w:type="dxa"/>
            <w:gridSpan w:val="5"/>
            <w:tcBorders>
              <w:top w:val="single" w:color="auto" w:sz="6" w:space="0"/>
              <w:left w:val="nil"/>
              <w:bottom w:val="single" w:color="auto" w:sz="6" w:space="0"/>
              <w:right w:val="single" w:color="auto" w:sz="6" w:space="0"/>
            </w:tcBorders>
            <w:vAlign w:val="center"/>
          </w:tcPr>
          <w:p w14:paraId="5CB5DEC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未经复议直接起诉</w:t>
            </w:r>
          </w:p>
        </w:tc>
        <w:tc>
          <w:tcPr>
            <w:tcW w:w="2985" w:type="dxa"/>
            <w:gridSpan w:val="5"/>
            <w:tcBorders>
              <w:top w:val="single" w:color="auto" w:sz="6" w:space="0"/>
              <w:left w:val="nil"/>
              <w:bottom w:val="single" w:color="auto" w:sz="6" w:space="0"/>
              <w:right w:val="single" w:color="auto" w:sz="6" w:space="0"/>
            </w:tcBorders>
            <w:vAlign w:val="center"/>
          </w:tcPr>
          <w:p w14:paraId="325245C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复议后起诉</w:t>
            </w:r>
          </w:p>
        </w:tc>
      </w:tr>
      <w:tr w14:paraId="4D42BBD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vMerge w:val="continue"/>
            <w:tcBorders>
              <w:top w:val="nil"/>
              <w:left w:val="single" w:color="auto" w:sz="6" w:space="0"/>
              <w:bottom w:val="single" w:color="auto" w:sz="6" w:space="0"/>
              <w:right w:val="single" w:color="auto" w:sz="6" w:space="0"/>
            </w:tcBorders>
            <w:vAlign w:val="center"/>
          </w:tcPr>
          <w:p w14:paraId="479DC8B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540" w:type="dxa"/>
            <w:vMerge w:val="continue"/>
            <w:tcBorders>
              <w:top w:val="nil"/>
              <w:left w:val="nil"/>
              <w:bottom w:val="single" w:color="auto" w:sz="6" w:space="0"/>
              <w:right w:val="single" w:color="auto" w:sz="6" w:space="0"/>
            </w:tcBorders>
            <w:vAlign w:val="center"/>
          </w:tcPr>
          <w:p w14:paraId="02C9040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495" w:type="dxa"/>
            <w:vMerge w:val="continue"/>
            <w:tcBorders>
              <w:top w:val="single" w:color="auto" w:sz="6" w:space="0"/>
              <w:left w:val="nil"/>
              <w:bottom w:val="single" w:color="auto" w:sz="6" w:space="0"/>
              <w:right w:val="single" w:color="auto" w:sz="6" w:space="0"/>
            </w:tcBorders>
            <w:vAlign w:val="center"/>
          </w:tcPr>
          <w:p w14:paraId="57F1739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549" w:type="dxa"/>
            <w:vMerge w:val="continue"/>
            <w:tcBorders>
              <w:top w:val="single" w:color="auto" w:sz="6" w:space="0"/>
              <w:left w:val="nil"/>
              <w:bottom w:val="single" w:color="auto" w:sz="6" w:space="0"/>
              <w:right w:val="single" w:color="auto" w:sz="6" w:space="0"/>
            </w:tcBorders>
            <w:vAlign w:val="center"/>
          </w:tcPr>
          <w:p w14:paraId="413B6FD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548" w:type="dxa"/>
            <w:vMerge w:val="continue"/>
            <w:tcBorders>
              <w:top w:val="single" w:color="auto" w:sz="6" w:space="0"/>
              <w:left w:val="nil"/>
              <w:bottom w:val="single" w:color="auto" w:sz="6" w:space="0"/>
              <w:right w:val="single" w:color="auto" w:sz="6" w:space="0"/>
            </w:tcBorders>
            <w:vAlign w:val="center"/>
          </w:tcPr>
          <w:p w14:paraId="2DE77181">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p>
        </w:tc>
        <w:tc>
          <w:tcPr>
            <w:tcW w:w="682" w:type="dxa"/>
            <w:tcBorders>
              <w:top w:val="nil"/>
              <w:left w:val="nil"/>
              <w:bottom w:val="single" w:color="auto" w:sz="6" w:space="0"/>
              <w:right w:val="single" w:color="auto" w:sz="6" w:space="0"/>
            </w:tcBorders>
            <w:vAlign w:val="center"/>
          </w:tcPr>
          <w:p w14:paraId="2C9D112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结果</w:t>
            </w:r>
          </w:p>
          <w:p w14:paraId="35336E5C">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维持</w:t>
            </w:r>
          </w:p>
        </w:tc>
        <w:tc>
          <w:tcPr>
            <w:tcW w:w="600" w:type="dxa"/>
            <w:tcBorders>
              <w:top w:val="nil"/>
              <w:left w:val="nil"/>
              <w:bottom w:val="single" w:color="auto" w:sz="6" w:space="0"/>
              <w:right w:val="single" w:color="auto" w:sz="6" w:space="0"/>
            </w:tcBorders>
            <w:vAlign w:val="center"/>
          </w:tcPr>
          <w:p w14:paraId="09EF0C6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结果</w:t>
            </w:r>
          </w:p>
          <w:p w14:paraId="5633FBD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纠正</w:t>
            </w:r>
          </w:p>
        </w:tc>
        <w:tc>
          <w:tcPr>
            <w:tcW w:w="600" w:type="dxa"/>
            <w:tcBorders>
              <w:top w:val="single" w:color="auto" w:sz="6" w:space="0"/>
              <w:left w:val="nil"/>
              <w:bottom w:val="single" w:color="auto" w:sz="6" w:space="0"/>
              <w:right w:val="single" w:color="auto" w:sz="6" w:space="0"/>
            </w:tcBorders>
            <w:vAlign w:val="center"/>
          </w:tcPr>
          <w:p w14:paraId="680CEB8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其他</w:t>
            </w:r>
          </w:p>
          <w:p w14:paraId="02361DA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结果</w:t>
            </w:r>
          </w:p>
        </w:tc>
        <w:tc>
          <w:tcPr>
            <w:tcW w:w="600" w:type="dxa"/>
            <w:tcBorders>
              <w:top w:val="single" w:color="auto" w:sz="6" w:space="0"/>
              <w:left w:val="nil"/>
              <w:bottom w:val="single" w:color="auto" w:sz="6" w:space="0"/>
              <w:right w:val="single" w:color="auto" w:sz="6" w:space="0"/>
            </w:tcBorders>
            <w:vAlign w:val="center"/>
          </w:tcPr>
          <w:p w14:paraId="27B82BC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尚未</w:t>
            </w:r>
          </w:p>
          <w:p w14:paraId="006ECCB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审结</w:t>
            </w:r>
          </w:p>
        </w:tc>
        <w:tc>
          <w:tcPr>
            <w:tcW w:w="503" w:type="dxa"/>
            <w:tcBorders>
              <w:top w:val="single" w:color="auto" w:sz="6" w:space="0"/>
              <w:left w:val="nil"/>
              <w:bottom w:val="single" w:color="auto" w:sz="6" w:space="0"/>
              <w:right w:val="single" w:color="auto" w:sz="6" w:space="0"/>
            </w:tcBorders>
            <w:vAlign w:val="center"/>
          </w:tcPr>
          <w:p w14:paraId="6532F3F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总计</w:t>
            </w:r>
          </w:p>
        </w:tc>
        <w:tc>
          <w:tcPr>
            <w:tcW w:w="712" w:type="dxa"/>
            <w:tcBorders>
              <w:top w:val="single" w:color="auto" w:sz="6" w:space="0"/>
              <w:left w:val="nil"/>
              <w:bottom w:val="single" w:color="auto" w:sz="6" w:space="0"/>
              <w:right w:val="single" w:color="auto" w:sz="6" w:space="0"/>
            </w:tcBorders>
            <w:vAlign w:val="center"/>
          </w:tcPr>
          <w:p w14:paraId="544EBE56">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结果</w:t>
            </w:r>
          </w:p>
          <w:p w14:paraId="41F701C5">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维持</w:t>
            </w:r>
          </w:p>
        </w:tc>
        <w:tc>
          <w:tcPr>
            <w:tcW w:w="600" w:type="dxa"/>
            <w:tcBorders>
              <w:top w:val="single" w:color="auto" w:sz="6" w:space="0"/>
              <w:left w:val="nil"/>
              <w:bottom w:val="single" w:color="auto" w:sz="6" w:space="0"/>
              <w:right w:val="single" w:color="auto" w:sz="6" w:space="0"/>
            </w:tcBorders>
            <w:vAlign w:val="center"/>
          </w:tcPr>
          <w:p w14:paraId="25465FA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结果</w:t>
            </w:r>
          </w:p>
          <w:p w14:paraId="0C060DB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纠正</w:t>
            </w:r>
          </w:p>
        </w:tc>
        <w:tc>
          <w:tcPr>
            <w:tcW w:w="600" w:type="dxa"/>
            <w:tcBorders>
              <w:top w:val="single" w:color="auto" w:sz="6" w:space="0"/>
              <w:left w:val="nil"/>
              <w:bottom w:val="single" w:color="auto" w:sz="6" w:space="0"/>
              <w:right w:val="single" w:color="auto" w:sz="6" w:space="0"/>
            </w:tcBorders>
            <w:vAlign w:val="center"/>
          </w:tcPr>
          <w:p w14:paraId="6A792AB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其他</w:t>
            </w:r>
          </w:p>
          <w:p w14:paraId="1744380A">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结果</w:t>
            </w:r>
          </w:p>
        </w:tc>
        <w:tc>
          <w:tcPr>
            <w:tcW w:w="600" w:type="dxa"/>
            <w:tcBorders>
              <w:top w:val="single" w:color="auto" w:sz="6" w:space="0"/>
              <w:left w:val="nil"/>
              <w:bottom w:val="single" w:color="auto" w:sz="6" w:space="0"/>
              <w:right w:val="single" w:color="auto" w:sz="6" w:space="0"/>
            </w:tcBorders>
            <w:vAlign w:val="center"/>
          </w:tcPr>
          <w:p w14:paraId="0713D39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尚未</w:t>
            </w:r>
          </w:p>
          <w:p w14:paraId="1BDB0C5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审结</w:t>
            </w:r>
          </w:p>
        </w:tc>
        <w:tc>
          <w:tcPr>
            <w:tcW w:w="473" w:type="dxa"/>
            <w:tcBorders>
              <w:top w:val="single" w:color="auto" w:sz="6" w:space="0"/>
              <w:left w:val="nil"/>
              <w:bottom w:val="single" w:color="auto" w:sz="6" w:space="0"/>
              <w:right w:val="single" w:color="auto" w:sz="6" w:space="0"/>
            </w:tcBorders>
            <w:vAlign w:val="center"/>
          </w:tcPr>
          <w:p w14:paraId="18E040C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总计</w:t>
            </w:r>
          </w:p>
        </w:tc>
      </w:tr>
      <w:tr w14:paraId="0AB0017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tcBorders>
              <w:top w:val="nil"/>
              <w:left w:val="single" w:color="auto" w:sz="6" w:space="0"/>
              <w:bottom w:val="single" w:color="auto" w:sz="6" w:space="0"/>
              <w:right w:val="single" w:color="auto" w:sz="6" w:space="0"/>
            </w:tcBorders>
            <w:vAlign w:val="center"/>
          </w:tcPr>
          <w:p w14:paraId="71C0866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0" w:type="dxa"/>
            <w:tcBorders>
              <w:top w:val="nil"/>
              <w:left w:val="nil"/>
              <w:bottom w:val="single" w:color="auto" w:sz="6" w:space="0"/>
              <w:right w:val="single" w:color="auto" w:sz="6" w:space="0"/>
            </w:tcBorders>
            <w:vAlign w:val="center"/>
          </w:tcPr>
          <w:p w14:paraId="2B008AA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95" w:type="dxa"/>
            <w:tcBorders>
              <w:top w:val="nil"/>
              <w:left w:val="nil"/>
              <w:bottom w:val="single" w:color="auto" w:sz="6" w:space="0"/>
              <w:right w:val="single" w:color="auto" w:sz="6" w:space="0"/>
            </w:tcBorders>
            <w:vAlign w:val="center"/>
          </w:tcPr>
          <w:p w14:paraId="28EE580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9" w:type="dxa"/>
            <w:tcBorders>
              <w:top w:val="nil"/>
              <w:left w:val="nil"/>
              <w:bottom w:val="single" w:color="auto" w:sz="6" w:space="0"/>
              <w:right w:val="single" w:color="auto" w:sz="6" w:space="0"/>
            </w:tcBorders>
            <w:vAlign w:val="center"/>
          </w:tcPr>
          <w:p w14:paraId="31A6F6CB">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48" w:type="dxa"/>
            <w:tcBorders>
              <w:top w:val="nil"/>
              <w:left w:val="nil"/>
              <w:bottom w:val="single" w:color="auto" w:sz="6" w:space="0"/>
              <w:right w:val="single" w:color="auto" w:sz="6" w:space="0"/>
            </w:tcBorders>
            <w:vAlign w:val="center"/>
          </w:tcPr>
          <w:p w14:paraId="3FDED650">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682" w:type="dxa"/>
            <w:tcBorders>
              <w:top w:val="nil"/>
              <w:left w:val="nil"/>
              <w:bottom w:val="single" w:color="auto" w:sz="6" w:space="0"/>
              <w:right w:val="single" w:color="auto" w:sz="6" w:space="0"/>
            </w:tcBorders>
            <w:vAlign w:val="center"/>
          </w:tcPr>
          <w:p w14:paraId="481118D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600" w:type="dxa"/>
            <w:tcBorders>
              <w:top w:val="nil"/>
              <w:left w:val="nil"/>
              <w:bottom w:val="single" w:color="auto" w:sz="6" w:space="0"/>
              <w:right w:val="single" w:color="auto" w:sz="6" w:space="0"/>
            </w:tcBorders>
            <w:vAlign w:val="center"/>
          </w:tcPr>
          <w:p w14:paraId="6A1A3228">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600" w:type="dxa"/>
            <w:tcBorders>
              <w:top w:val="nil"/>
              <w:left w:val="nil"/>
              <w:bottom w:val="single" w:color="auto" w:sz="6" w:space="0"/>
              <w:right w:val="single" w:color="auto" w:sz="6" w:space="0"/>
            </w:tcBorders>
            <w:vAlign w:val="center"/>
          </w:tcPr>
          <w:p w14:paraId="1FC92AE7">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600" w:type="dxa"/>
            <w:tcBorders>
              <w:top w:val="nil"/>
              <w:left w:val="nil"/>
              <w:bottom w:val="single" w:color="auto" w:sz="6" w:space="0"/>
              <w:right w:val="single" w:color="auto" w:sz="6" w:space="0"/>
            </w:tcBorders>
            <w:vAlign w:val="center"/>
          </w:tcPr>
          <w:p w14:paraId="449B6CF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503" w:type="dxa"/>
            <w:tcBorders>
              <w:top w:val="nil"/>
              <w:left w:val="nil"/>
              <w:bottom w:val="single" w:color="auto" w:sz="6" w:space="0"/>
              <w:right w:val="single" w:color="auto" w:sz="6" w:space="0"/>
            </w:tcBorders>
            <w:vAlign w:val="center"/>
          </w:tcPr>
          <w:p w14:paraId="366010AD">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712" w:type="dxa"/>
            <w:tcBorders>
              <w:top w:val="nil"/>
              <w:left w:val="nil"/>
              <w:bottom w:val="single" w:color="auto" w:sz="6" w:space="0"/>
              <w:right w:val="single" w:color="auto" w:sz="6" w:space="0"/>
            </w:tcBorders>
            <w:vAlign w:val="center"/>
          </w:tcPr>
          <w:p w14:paraId="498949A3">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600" w:type="dxa"/>
            <w:tcBorders>
              <w:top w:val="nil"/>
              <w:left w:val="nil"/>
              <w:bottom w:val="single" w:color="auto" w:sz="6" w:space="0"/>
              <w:right w:val="single" w:color="auto" w:sz="6" w:space="0"/>
            </w:tcBorders>
            <w:vAlign w:val="center"/>
          </w:tcPr>
          <w:p w14:paraId="56E5BC12">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600" w:type="dxa"/>
            <w:tcBorders>
              <w:top w:val="nil"/>
              <w:left w:val="nil"/>
              <w:bottom w:val="single" w:color="auto" w:sz="6" w:space="0"/>
              <w:right w:val="single" w:color="auto" w:sz="6" w:space="0"/>
            </w:tcBorders>
            <w:vAlign w:val="center"/>
          </w:tcPr>
          <w:p w14:paraId="718831B4">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600" w:type="dxa"/>
            <w:tcBorders>
              <w:top w:val="nil"/>
              <w:left w:val="nil"/>
              <w:bottom w:val="single" w:color="auto" w:sz="6" w:space="0"/>
              <w:right w:val="single" w:color="auto" w:sz="6" w:space="0"/>
            </w:tcBorders>
            <w:vAlign w:val="center"/>
          </w:tcPr>
          <w:p w14:paraId="6386AF9F">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c>
          <w:tcPr>
            <w:tcW w:w="473" w:type="dxa"/>
            <w:tcBorders>
              <w:top w:val="nil"/>
              <w:left w:val="nil"/>
              <w:bottom w:val="single" w:color="auto" w:sz="6" w:space="0"/>
              <w:right w:val="single" w:color="auto" w:sz="6" w:space="0"/>
            </w:tcBorders>
            <w:vAlign w:val="center"/>
          </w:tcPr>
          <w:p w14:paraId="11D8A26E">
            <w:pPr>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0</w:t>
            </w:r>
          </w:p>
        </w:tc>
      </w:tr>
    </w:tbl>
    <w:p w14:paraId="10104501">
      <w:pPr>
        <w:widowControl w:val="0"/>
        <w:wordWrap/>
        <w:adjustRightInd/>
        <w:snapToGrid/>
        <w:spacing w:line="560" w:lineRule="exact"/>
        <w:ind w:left="0" w:leftChars="0" w:firstLine="0" w:firstLineChars="0"/>
        <w:jc w:val="both"/>
        <w:textAlignment w:val="auto"/>
        <w:rPr>
          <w:rFonts w:hint="eastAsia" w:ascii="Calibri" w:hAnsi="Calibri" w:eastAsia="宋体" w:cs="黑体"/>
          <w:kern w:val="2"/>
          <w:sz w:val="21"/>
          <w:szCs w:val="24"/>
          <w:lang w:val="en-US" w:eastAsia="zh-CN" w:bidi="ar-SA"/>
        </w:rPr>
      </w:pPr>
    </w:p>
    <w:p w14:paraId="2AB573A8">
      <w:pPr>
        <w:widowControl w:val="0"/>
        <w:numPr>
          <w:ilvl w:val="0"/>
          <w:numId w:val="4"/>
        </w:numPr>
        <w:wordWrap/>
        <w:adjustRightInd/>
        <w:snapToGrid/>
        <w:spacing w:line="600" w:lineRule="exact"/>
        <w:ind w:left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存在的问题及改进情况</w:t>
      </w:r>
    </w:p>
    <w:p w14:paraId="0D15647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楷体_GB2312" w:hAnsi="楷体_GB2312" w:eastAsia="楷体_GB2312" w:cs="楷体_GB2312"/>
          <w:i w:val="0"/>
          <w:caps w:val="0"/>
          <w:color w:val="000000"/>
          <w:spacing w:val="0"/>
          <w:kern w:val="0"/>
          <w:sz w:val="32"/>
          <w:szCs w:val="32"/>
          <w:shd w:val="clear" w:fill="FFFFFF"/>
          <w:lang w:val="en-US" w:eastAsia="zh-CN" w:bidi="ar-SA"/>
        </w:rPr>
      </w:pPr>
      <w:r>
        <w:rPr>
          <w:rFonts w:hint="eastAsia" w:ascii="楷体_GB2312" w:hAnsi="楷体_GB2312" w:eastAsia="楷体_GB2312" w:cs="楷体_GB2312"/>
          <w:i w:val="0"/>
          <w:caps w:val="0"/>
          <w:color w:val="000000"/>
          <w:spacing w:val="0"/>
          <w:kern w:val="0"/>
          <w:sz w:val="32"/>
          <w:szCs w:val="32"/>
          <w:shd w:val="clear" w:fill="FFFFFF"/>
          <w:lang w:val="en-US" w:eastAsia="zh-CN" w:bidi="ar-SA"/>
        </w:rPr>
        <w:t>（一）主要问题</w:t>
      </w:r>
    </w:p>
    <w:p w14:paraId="35E76CF9">
      <w:pPr>
        <w:keepNext w:val="0"/>
        <w:keepLines w:val="0"/>
        <w:pageBreakBefore w:val="0"/>
        <w:widowControl w:val="0"/>
        <w:numPr>
          <w:ilvl w:val="0"/>
          <w:numId w:val="0"/>
        </w:numPr>
        <w:kinsoku/>
        <w:wordWrap/>
        <w:overflowPunct/>
        <w:topLinePunct w:val="0"/>
        <w:autoSpaceDE/>
        <w:autoSpaceDN/>
        <w:bidi w:val="0"/>
        <w:adjustRightInd/>
        <w:snapToGrid/>
        <w:spacing w:before="0" w:after="0" w:line="560" w:lineRule="exact"/>
        <w:ind w:firstLine="640" w:firstLineChars="200"/>
        <w:jc w:val="both"/>
        <w:textAlignment w:val="auto"/>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pPr>
      <w:r>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t>一是信息公开深度不足，部分领域公开内容较为简略，政策解读形式单一。二是公开渠道互动性不强，与群众的沟通反馈机制尚未健全。三是工作人员业务能力有待提升，专业素养与工作实际需求存在一定差距。</w:t>
      </w:r>
    </w:p>
    <w:p w14:paraId="038A8A74">
      <w:pPr>
        <w:keepNext w:val="0"/>
        <w:keepLines w:val="0"/>
        <w:pageBreakBefore w:val="0"/>
        <w:widowControl/>
        <w:numPr>
          <w:ilvl w:val="0"/>
          <w:numId w:val="5"/>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楷体_GB2312" w:hAnsi="楷体_GB2312" w:eastAsia="楷体_GB2312" w:cs="楷体_GB2312"/>
          <w:i w:val="0"/>
          <w:caps w:val="0"/>
          <w:color w:val="000000"/>
          <w:spacing w:val="0"/>
          <w:kern w:val="0"/>
          <w:sz w:val="32"/>
          <w:szCs w:val="32"/>
          <w:shd w:val="clear" w:fill="FFFFFF"/>
          <w:lang w:val="en-US" w:eastAsia="zh-CN" w:bidi="ar-SA"/>
        </w:rPr>
      </w:pPr>
      <w:r>
        <w:rPr>
          <w:rFonts w:hint="eastAsia" w:ascii="楷体_GB2312" w:hAnsi="楷体_GB2312" w:eastAsia="楷体_GB2312" w:cs="楷体_GB2312"/>
          <w:i w:val="0"/>
          <w:caps w:val="0"/>
          <w:color w:val="000000"/>
          <w:spacing w:val="0"/>
          <w:kern w:val="0"/>
          <w:sz w:val="32"/>
          <w:szCs w:val="32"/>
          <w:shd w:val="clear" w:fill="FFFFFF"/>
          <w:lang w:val="en-US" w:eastAsia="zh-CN" w:bidi="ar-SA"/>
        </w:rPr>
        <w:t>改进措施</w:t>
      </w:r>
    </w:p>
    <w:p w14:paraId="28D83C0C">
      <w:pPr>
        <w:keepNext w:val="0"/>
        <w:keepLines w:val="0"/>
        <w:pageBreakBefore w:val="0"/>
        <w:widowControl w:val="0"/>
        <w:numPr>
          <w:ilvl w:val="0"/>
          <w:numId w:val="0"/>
        </w:numPr>
        <w:kinsoku/>
        <w:wordWrap/>
        <w:overflowPunct/>
        <w:topLinePunct w:val="0"/>
        <w:autoSpaceDE/>
        <w:autoSpaceDN/>
        <w:bidi w:val="0"/>
        <w:adjustRightInd/>
        <w:snapToGrid/>
        <w:spacing w:before="0" w:after="0" w:line="560" w:lineRule="exact"/>
        <w:ind w:firstLine="640" w:firstLineChars="200"/>
        <w:jc w:val="both"/>
        <w:textAlignment w:val="auto"/>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pPr>
      <w:r>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t>一是深化公开内容，聚焦群众关切的重点领域，丰富政策解读形式，切实提升信息公开的实用性。二是优化渠道建设，增强平台互动功能，及时回应群众诉求。三是强化队伍建设，常态化开展业务培训，提升工作人员专业水平，推动我镇政府信息公开工作提质增效。</w:t>
      </w:r>
    </w:p>
    <w:p w14:paraId="0C0C6D0D">
      <w:pPr>
        <w:widowControl w:val="0"/>
        <w:numPr>
          <w:ilvl w:val="0"/>
          <w:numId w:val="4"/>
        </w:numPr>
        <w:wordWrap/>
        <w:adjustRightInd/>
        <w:snapToGrid/>
        <w:spacing w:line="600" w:lineRule="exact"/>
        <w:ind w:left="420" w:leftChars="200" w:firstLine="0" w:firstLineChars="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其他需要报告的事项</w:t>
      </w:r>
    </w:p>
    <w:p w14:paraId="353CDA47">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pPr>
      <w:r>
        <w:rPr>
          <w:rFonts w:hint="eastAsia" w:ascii="方正仿宋简体" w:hAnsi="方正仿宋简体" w:eastAsia="方正仿宋简体" w:cs="方正仿宋简体"/>
          <w:b w:val="0"/>
          <w:bCs w:val="0"/>
          <w:i w:val="0"/>
          <w:caps w:val="0"/>
          <w:color w:val="000000"/>
          <w:spacing w:val="0"/>
          <w:kern w:val="0"/>
          <w:sz w:val="32"/>
          <w:szCs w:val="32"/>
          <w:shd w:val="clear" w:fill="FFFFFF"/>
          <w:lang w:val="en-US" w:eastAsia="zh-CN" w:bidi="ar-SA"/>
        </w:rPr>
        <w:t>无</w:t>
      </w:r>
    </w:p>
    <w:p w14:paraId="3B5B4C05"/>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7D536B3-8FE6-44FF-B031-FEFA13442A6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EEF52990-3211-46F5-93B1-30AC18B22DEE}"/>
  </w:font>
  <w:font w:name="等线 Light">
    <w:altName w:val="宋体"/>
    <w:panose1 w:val="02010600030101010101"/>
    <w:charset w:val="86"/>
    <w:family w:val="auto"/>
    <w:pitch w:val="default"/>
    <w:sig w:usb0="00000000" w:usb1="00000000" w:usb2="00000016" w:usb3="00000000" w:csb0="0004000F" w:csb1="00000000"/>
  </w:font>
  <w:font w:name="方正小标宋简体">
    <w:panose1 w:val="02010600010101010101"/>
    <w:charset w:val="86"/>
    <w:family w:val="auto"/>
    <w:pitch w:val="default"/>
    <w:sig w:usb0="00000001" w:usb1="080E0000" w:usb2="00000000" w:usb3="00000000" w:csb0="00040000" w:csb1="00000000"/>
    <w:embedRegular r:id="rId3" w:fontKey="{7EF2CE79-873C-4E6F-9E0C-EF045D69FCD3}"/>
  </w:font>
  <w:font w:name="方正黑体简体">
    <w:panose1 w:val="02000000000000000000"/>
    <w:charset w:val="86"/>
    <w:family w:val="auto"/>
    <w:pitch w:val="default"/>
    <w:sig w:usb0="A00002BF" w:usb1="184F6CFA" w:usb2="00000012" w:usb3="00000000" w:csb0="00040001" w:csb1="00000000"/>
    <w:embedRegular r:id="rId4" w:fontKey="{0E23148E-D458-4BFC-A930-04254E75120D}"/>
  </w:font>
  <w:font w:name="方正仿宋简体">
    <w:panose1 w:val="02000000000000000000"/>
    <w:charset w:val="86"/>
    <w:family w:val="auto"/>
    <w:pitch w:val="default"/>
    <w:sig w:usb0="A00002BF" w:usb1="184F6CFA" w:usb2="00000012" w:usb3="00000000" w:csb0="00040001" w:csb1="00000000"/>
    <w:embedRegular r:id="rId5" w:fontKey="{A356EEB7-DA0E-4EAD-9438-6A1BD8B2224B}"/>
  </w:font>
  <w:font w:name="楷体_GB2312">
    <w:altName w:val="楷体"/>
    <w:panose1 w:val="02010609030101010101"/>
    <w:charset w:val="86"/>
    <w:family w:val="auto"/>
    <w:pitch w:val="default"/>
    <w:sig w:usb0="00000000" w:usb1="00000000" w:usb2="00000000" w:usb3="00000000" w:csb0="00040000" w:csb1="00000000"/>
    <w:embedRegular r:id="rId6" w:fontKey="{25156246-2E51-40E9-A232-8D2A02A76ADB}"/>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512370">
    <w:pPr>
      <w:widowControl w:val="0"/>
      <w:tabs>
        <w:tab w:val="center" w:pos="4153"/>
        <w:tab w:val="right" w:pos="8306"/>
      </w:tabs>
      <w:snapToGrid w:val="0"/>
      <w:jc w:val="left"/>
      <w:rPr>
        <w:rFonts w:ascii="Calibri" w:hAnsi="Calibri" w:eastAsia="宋体" w:cs="黑体"/>
        <w:kern w:val="2"/>
        <w:sz w:val="18"/>
        <w:szCs w:val="24"/>
        <w:lang w:val="en-US" w:eastAsia="zh-CN" w:bidi="ar-SA"/>
      </w:rPr>
    </w:pPr>
    <w:r>
      <w:rPr>
        <w:rFonts w:ascii="Calibri" w:hAnsi="Calibri" w:eastAsia="宋体" w:cs="黑体"/>
        <w:kern w:val="2"/>
        <w:sz w:val="18"/>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14:paraId="4A88DA8F">
                          <w:pPr>
                            <w:widowControl w:val="0"/>
                            <w:tabs>
                              <w:tab w:val="center" w:pos="4153"/>
                              <w:tab w:val="right" w:pos="8306"/>
                            </w:tabs>
                            <w:snapToGrid w:val="0"/>
                            <w:jc w:val="left"/>
                            <w:rPr>
                              <w:rFonts w:hint="eastAsia" w:ascii="Calibri" w:hAnsi="Calibri" w:eastAsia="宋体" w:cs="黑体"/>
                              <w:kern w:val="2"/>
                              <w:sz w:val="18"/>
                              <w:szCs w:val="24"/>
                              <w:lang w:val="en-US" w:eastAsia="zh-CN" w:bidi="ar-SA"/>
                            </w:rPr>
                          </w:pPr>
                          <w:r>
                            <w:rPr>
                              <w:rFonts w:hint="eastAsia" w:ascii="Calibri" w:hAnsi="Calibri" w:eastAsia="宋体" w:cs="黑体"/>
                              <w:kern w:val="2"/>
                              <w:sz w:val="18"/>
                              <w:szCs w:val="24"/>
                              <w:lang w:val="en-US" w:eastAsia="zh-CN" w:bidi="ar-SA"/>
                            </w:rPr>
                            <w:fldChar w:fldCharType="begin"/>
                          </w:r>
                          <w:r>
                            <w:rPr>
                              <w:rFonts w:hint="eastAsia" w:ascii="Calibri" w:hAnsi="Calibri" w:eastAsia="宋体" w:cs="黑体"/>
                              <w:kern w:val="2"/>
                              <w:sz w:val="18"/>
                              <w:szCs w:val="24"/>
                              <w:lang w:val="en-US" w:eastAsia="zh-CN" w:bidi="ar-SA"/>
                            </w:rPr>
                            <w:instrText xml:space="preserve"> PAGE  \* MERGEFORMAT </w:instrText>
                          </w:r>
                          <w:r>
                            <w:rPr>
                              <w:rFonts w:hint="eastAsia" w:ascii="Calibri" w:hAnsi="Calibri" w:eastAsia="宋体" w:cs="黑体"/>
                              <w:kern w:val="2"/>
                              <w:sz w:val="18"/>
                              <w:szCs w:val="24"/>
                              <w:lang w:val="en-US" w:eastAsia="zh-CN" w:bidi="ar-SA"/>
                            </w:rPr>
                            <w:fldChar w:fldCharType="separate"/>
                          </w:r>
                          <w:r>
                            <w:rPr>
                              <w:rFonts w:hint="eastAsia" w:ascii="Calibri" w:hAnsi="Calibri" w:eastAsia="宋体" w:cs="黑体"/>
                              <w:kern w:val="2"/>
                              <w:sz w:val="18"/>
                              <w:szCs w:val="24"/>
                              <w:lang w:val="en-US" w:eastAsia="zh-CN" w:bidi="ar-SA"/>
                            </w:rPr>
                            <w:t>1</w:t>
                          </w:r>
                          <w:r>
                            <w:rPr>
                              <w:rFonts w:hint="eastAsia" w:ascii="Calibri" w:hAnsi="Calibri" w:eastAsia="宋体" w:cs="黑体"/>
                              <w:kern w:val="2"/>
                              <w:sz w:val="18"/>
                              <w:szCs w:val="24"/>
                              <w:lang w:val="en-US" w:eastAsia="zh-CN" w:bidi="ar-SA"/>
                            </w:rPr>
                            <w:fldChar w:fldCharType="end"/>
                          </w:r>
                        </w:p>
                      </w:txbxContent>
                    </wps:txbx>
                    <wps:bodyPr wrap="none" lIns="0" tIns="0" rIns="0" bIns="0" upright="1">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5dblS0AAAAAUBAAAPAAAAAAAAAAEAIAAAACIAAABkcnMvZG93bnJldi54bWxQSwEC&#10;FAAUAAAACACHTuJAfmucmMMBAACPAwAADgAAAAAAAAABACAAAAAfAQAAZHJzL2Uyb0RvYy54bWxQ&#10;SwUGAAAAAAYABgBZAQAAVAUAAAAA&#10;">
              <v:fill on="f" focussize="0,0"/>
              <v:stroke on="f"/>
              <v:imagedata o:title=""/>
              <o:lock v:ext="edit" aspectratio="f"/>
              <v:textbox inset="0mm,0mm,0mm,0mm" style="mso-fit-shape-to-text:t;">
                <w:txbxContent>
                  <w:p w14:paraId="4A88DA8F">
                    <w:pPr>
                      <w:widowControl w:val="0"/>
                      <w:tabs>
                        <w:tab w:val="center" w:pos="4153"/>
                        <w:tab w:val="right" w:pos="8306"/>
                      </w:tabs>
                      <w:snapToGrid w:val="0"/>
                      <w:jc w:val="left"/>
                      <w:rPr>
                        <w:rFonts w:hint="eastAsia" w:ascii="Calibri" w:hAnsi="Calibri" w:eastAsia="宋体" w:cs="黑体"/>
                        <w:kern w:val="2"/>
                        <w:sz w:val="18"/>
                        <w:szCs w:val="24"/>
                        <w:lang w:val="en-US" w:eastAsia="zh-CN" w:bidi="ar-SA"/>
                      </w:rPr>
                    </w:pPr>
                    <w:r>
                      <w:rPr>
                        <w:rFonts w:hint="eastAsia" w:ascii="Calibri" w:hAnsi="Calibri" w:eastAsia="宋体" w:cs="黑体"/>
                        <w:kern w:val="2"/>
                        <w:sz w:val="18"/>
                        <w:szCs w:val="24"/>
                        <w:lang w:val="en-US" w:eastAsia="zh-CN" w:bidi="ar-SA"/>
                      </w:rPr>
                      <w:fldChar w:fldCharType="begin"/>
                    </w:r>
                    <w:r>
                      <w:rPr>
                        <w:rFonts w:hint="eastAsia" w:ascii="Calibri" w:hAnsi="Calibri" w:eastAsia="宋体" w:cs="黑体"/>
                        <w:kern w:val="2"/>
                        <w:sz w:val="18"/>
                        <w:szCs w:val="24"/>
                        <w:lang w:val="en-US" w:eastAsia="zh-CN" w:bidi="ar-SA"/>
                      </w:rPr>
                      <w:instrText xml:space="preserve"> PAGE  \* MERGEFORMAT </w:instrText>
                    </w:r>
                    <w:r>
                      <w:rPr>
                        <w:rFonts w:hint="eastAsia" w:ascii="Calibri" w:hAnsi="Calibri" w:eastAsia="宋体" w:cs="黑体"/>
                        <w:kern w:val="2"/>
                        <w:sz w:val="18"/>
                        <w:szCs w:val="24"/>
                        <w:lang w:val="en-US" w:eastAsia="zh-CN" w:bidi="ar-SA"/>
                      </w:rPr>
                      <w:fldChar w:fldCharType="separate"/>
                    </w:r>
                    <w:r>
                      <w:rPr>
                        <w:rFonts w:hint="eastAsia" w:ascii="Calibri" w:hAnsi="Calibri" w:eastAsia="宋体" w:cs="黑体"/>
                        <w:kern w:val="2"/>
                        <w:sz w:val="18"/>
                        <w:szCs w:val="24"/>
                        <w:lang w:val="en-US" w:eastAsia="zh-CN" w:bidi="ar-SA"/>
                      </w:rPr>
                      <w:t>1</w:t>
                    </w:r>
                    <w:r>
                      <w:rPr>
                        <w:rFonts w:hint="eastAsia" w:ascii="Calibri" w:hAnsi="Calibri" w:eastAsia="宋体" w:cs="黑体"/>
                        <w:kern w:val="2"/>
                        <w:sz w:val="18"/>
                        <w:szCs w:val="24"/>
                        <w:lang w:val="en-US" w:eastAsia="zh-CN" w:bidi="ar-SA"/>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ACF1A"/>
    <w:multiLevelType w:val="singleLevel"/>
    <w:tmpl w:val="87FACF1A"/>
    <w:lvl w:ilvl="0" w:tentative="0">
      <w:start w:val="5"/>
      <w:numFmt w:val="chineseCounting"/>
      <w:suff w:val="nothing"/>
      <w:lvlText w:val="%1、"/>
      <w:lvlJc w:val="left"/>
      <w:rPr>
        <w:rFonts w:hint="eastAsia"/>
      </w:rPr>
    </w:lvl>
  </w:abstractNum>
  <w:abstractNum w:abstractNumId="1">
    <w:nsid w:val="99541380"/>
    <w:multiLevelType w:val="singleLevel"/>
    <w:tmpl w:val="99541380"/>
    <w:lvl w:ilvl="0" w:tentative="0">
      <w:start w:val="2"/>
      <w:numFmt w:val="chineseCounting"/>
      <w:suff w:val="nothing"/>
      <w:lvlText w:val="（%1）"/>
      <w:lvlJc w:val="left"/>
      <w:rPr>
        <w:rFonts w:hint="eastAsia"/>
      </w:rPr>
    </w:lvl>
  </w:abstractNum>
  <w:abstractNum w:abstractNumId="2">
    <w:nsid w:val="995F8BD0"/>
    <w:multiLevelType w:val="singleLevel"/>
    <w:tmpl w:val="995F8BD0"/>
    <w:lvl w:ilvl="0" w:tentative="0">
      <w:start w:val="2"/>
      <w:numFmt w:val="decimal"/>
      <w:lvlText w:val="%1."/>
      <w:lvlJc w:val="left"/>
      <w:pPr>
        <w:tabs>
          <w:tab w:val="left" w:pos="312"/>
        </w:tabs>
      </w:pPr>
    </w:lvl>
  </w:abstractNum>
  <w:abstractNum w:abstractNumId="3">
    <w:nsid w:val="DC16339F"/>
    <w:multiLevelType w:val="singleLevel"/>
    <w:tmpl w:val="DC16339F"/>
    <w:lvl w:ilvl="0" w:tentative="0">
      <w:start w:val="1"/>
      <w:numFmt w:val="decimal"/>
      <w:lvlText w:val="%1."/>
      <w:lvlJc w:val="left"/>
      <w:pPr>
        <w:tabs>
          <w:tab w:val="left" w:pos="312"/>
        </w:tabs>
      </w:pPr>
    </w:lvl>
  </w:abstractNum>
  <w:abstractNum w:abstractNumId="4">
    <w:nsid w:val="41C10CFE"/>
    <w:multiLevelType w:val="singleLevel"/>
    <w:tmpl w:val="41C10CFE"/>
    <w:lvl w:ilvl="0" w:tentative="0">
      <w:start w:val="1"/>
      <w:numFmt w:val="chineseCounting"/>
      <w:suff w:val="nothing"/>
      <w:lvlText w:val="%1、"/>
      <w:lvlJc w:val="left"/>
      <w:rPr>
        <w:rFonts w:hint="eastAsia"/>
      </w:r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D91C4F"/>
    <w:rsid w:val="02097566"/>
    <w:rsid w:val="69D91C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205</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2026-01-14T03:06:00Z</dcterms:created>
  <dc:creator>Persuasion</dc:creator>
  <cp:lastModifiedBy>Persuasion</cp:lastModifiedBy>
  <dcterms:modified xsi:type="dcterms:W3CDTF">2026-01-15T01:35:49Z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D4FEA5BB665047F586C9A2A6D374D042_11</vt:lpwstr>
  </property>
  <property fmtid="{D5CDD505-2E9C-101B-9397-08002B2CF9AE}" pid="4" name="KSOTemplateDocerSaveRecord">
    <vt:lpwstr>eyJoZGlkIjoiNjcwYmU1NmI5N2VkOGMzMDcwNTVmYTVmMWFiZWUyYWIiLCJ1c2VySWQiOiI4MzgxOTgwODUifQ==</vt:lpwstr>
  </property>
</Properties>
</file>