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F5E079">
      <w:pPr>
        <w:keepNext w:val="0"/>
        <w:keepLines w:val="0"/>
        <w:pageBreakBefore w:val="0"/>
        <w:widowControl w:val="0"/>
        <w:kinsoku/>
        <w:wordWrap/>
        <w:overflowPunct/>
        <w:topLinePunct w:val="0"/>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井陉县卫生健康局</w:t>
      </w:r>
    </w:p>
    <w:p w14:paraId="457BB1A5">
      <w:pPr>
        <w:keepNext w:val="0"/>
        <w:keepLines w:val="0"/>
        <w:pageBreakBefore w:val="0"/>
        <w:widowControl w:val="0"/>
        <w:kinsoku/>
        <w:wordWrap/>
        <w:overflowPunct/>
        <w:topLinePunct w:val="0"/>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sz w:val="44"/>
          <w:szCs w:val="44"/>
          <w:lang w:eastAsia="zh-CN"/>
        </w:rPr>
      </w:pPr>
      <w:r>
        <w:rPr>
          <w:rFonts w:hint="eastAsia" w:ascii="方正小标宋简体" w:hAnsi="方正小标宋简体" w:eastAsia="方正小标宋简体" w:cs="方正小标宋简体"/>
          <w:b w:val="0"/>
          <w:bCs/>
          <w:sz w:val="44"/>
          <w:szCs w:val="44"/>
        </w:rPr>
        <w:t>法治</w:t>
      </w:r>
      <w:r>
        <w:rPr>
          <w:rFonts w:hint="eastAsia" w:ascii="方正小标宋简体" w:hAnsi="方正小标宋简体" w:eastAsia="方正小标宋简体" w:cs="方正小标宋简体"/>
          <w:b w:val="0"/>
          <w:bCs/>
          <w:sz w:val="44"/>
          <w:szCs w:val="44"/>
          <w:lang w:eastAsia="zh-CN"/>
        </w:rPr>
        <w:t>政府</w:t>
      </w:r>
      <w:r>
        <w:rPr>
          <w:rFonts w:hint="eastAsia" w:ascii="方正小标宋简体" w:hAnsi="方正小标宋简体" w:eastAsia="方正小标宋简体" w:cs="方正小标宋简体"/>
          <w:b w:val="0"/>
          <w:bCs/>
          <w:sz w:val="44"/>
          <w:szCs w:val="44"/>
        </w:rPr>
        <w:t>建设工作</w:t>
      </w:r>
      <w:r>
        <w:rPr>
          <w:rFonts w:hint="eastAsia" w:ascii="方正小标宋简体" w:hAnsi="方正小标宋简体" w:eastAsia="方正小标宋简体" w:cs="方正小标宋简体"/>
          <w:b w:val="0"/>
          <w:bCs/>
          <w:sz w:val="44"/>
          <w:szCs w:val="44"/>
          <w:lang w:eastAsia="zh-CN"/>
        </w:rPr>
        <w:t>报告</w:t>
      </w:r>
    </w:p>
    <w:p w14:paraId="60001D75">
      <w:pPr>
        <w:keepNext w:val="0"/>
        <w:keepLines w:val="0"/>
        <w:pageBreakBefore w:val="0"/>
        <w:widowControl w:val="0"/>
        <w:kinsoku/>
        <w:wordWrap/>
        <w:overflowPunct/>
        <w:topLinePunct w:val="0"/>
        <w:autoSpaceDE w:val="0"/>
        <w:autoSpaceDN/>
        <w:bidi w:val="0"/>
        <w:adjustRightInd/>
        <w:snapToGrid/>
        <w:spacing w:line="600" w:lineRule="exact"/>
        <w:ind w:firstLine="640" w:firstLineChars="200"/>
        <w:textAlignment w:val="auto"/>
        <w:rPr>
          <w:rFonts w:hint="eastAsia" w:ascii="方正仿宋简体" w:hAnsi="方正仿宋简体" w:eastAsia="方正仿宋简体" w:cs="方正仿宋简体"/>
          <w:sz w:val="32"/>
          <w:szCs w:val="32"/>
        </w:rPr>
      </w:pPr>
    </w:p>
    <w:p w14:paraId="265C319D">
      <w:pPr>
        <w:keepNext w:val="0"/>
        <w:keepLines w:val="0"/>
        <w:pageBreakBefore w:val="0"/>
        <w:widowControl w:val="0"/>
        <w:kinsoku/>
        <w:wordWrap/>
        <w:overflowPunct/>
        <w:topLinePunct w:val="0"/>
        <w:autoSpaceDE w:val="0"/>
        <w:autoSpaceDN/>
        <w:bidi w:val="0"/>
        <w:adjustRightInd/>
        <w:snapToGrid/>
        <w:spacing w:line="600" w:lineRule="exact"/>
        <w:ind w:firstLine="640" w:firstLineChars="200"/>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202</w:t>
      </w:r>
      <w:r>
        <w:rPr>
          <w:rFonts w:hint="eastAsia" w:ascii="方正仿宋简体" w:hAnsi="方正仿宋简体" w:eastAsia="方正仿宋简体" w:cs="方正仿宋简体"/>
          <w:sz w:val="32"/>
          <w:szCs w:val="32"/>
          <w:lang w:val="en-US" w:eastAsia="zh-CN"/>
        </w:rPr>
        <w:t>5</w:t>
      </w:r>
      <w:r>
        <w:rPr>
          <w:rFonts w:hint="eastAsia" w:ascii="方正仿宋简体" w:hAnsi="方正仿宋简体" w:eastAsia="方正仿宋简体" w:cs="方正仿宋简体"/>
          <w:sz w:val="32"/>
          <w:szCs w:val="32"/>
        </w:rPr>
        <w:t>年，我局法治</w:t>
      </w:r>
      <w:r>
        <w:rPr>
          <w:rFonts w:hint="eastAsia" w:ascii="方正仿宋简体" w:hAnsi="方正仿宋简体" w:eastAsia="方正仿宋简体" w:cs="方正仿宋简体"/>
          <w:sz w:val="32"/>
          <w:szCs w:val="32"/>
          <w:lang w:eastAsia="zh-CN"/>
        </w:rPr>
        <w:t>政府</w:t>
      </w:r>
      <w:r>
        <w:rPr>
          <w:rFonts w:hint="eastAsia" w:ascii="方正仿宋简体" w:hAnsi="方正仿宋简体" w:eastAsia="方正仿宋简体" w:cs="方正仿宋简体"/>
          <w:sz w:val="32"/>
          <w:szCs w:val="32"/>
        </w:rPr>
        <w:t>建设工作在市卫健委、县</w:t>
      </w:r>
      <w:r>
        <w:rPr>
          <w:rFonts w:hint="eastAsia" w:ascii="方正仿宋简体" w:hAnsi="方正仿宋简体" w:eastAsia="方正仿宋简体" w:cs="方正仿宋简体"/>
          <w:sz w:val="32"/>
          <w:szCs w:val="32"/>
          <w:lang w:eastAsia="zh-CN"/>
        </w:rPr>
        <w:t>依法行政工作领导小组办公室</w:t>
      </w:r>
      <w:r>
        <w:rPr>
          <w:rFonts w:hint="eastAsia" w:ascii="方正仿宋简体" w:hAnsi="方正仿宋简体" w:eastAsia="方正仿宋简体" w:cs="方正仿宋简体"/>
          <w:sz w:val="32"/>
          <w:szCs w:val="32"/>
        </w:rPr>
        <w:t>的指导下，</w:t>
      </w:r>
      <w:r>
        <w:rPr>
          <w:rFonts w:hint="eastAsia" w:ascii="方正仿宋简体" w:hAnsi="方正仿宋简体" w:eastAsia="方正仿宋简体" w:cs="方正仿宋简体"/>
          <w:sz w:val="32"/>
          <w:szCs w:val="32"/>
          <w:lang w:eastAsia="zh-CN"/>
        </w:rPr>
        <w:t>根据市卫健委印发《</w:t>
      </w:r>
      <w:r>
        <w:rPr>
          <w:rFonts w:hint="eastAsia" w:ascii="方正仿宋简体" w:hAnsi="方正仿宋简体" w:eastAsia="方正仿宋简体" w:cs="方正仿宋简体"/>
          <w:sz w:val="32"/>
          <w:szCs w:val="32"/>
          <w:lang w:val="en-US" w:eastAsia="zh-CN"/>
        </w:rPr>
        <w:t>2025年全市卫生健康法治工作要点</w:t>
      </w:r>
      <w:r>
        <w:rPr>
          <w:rFonts w:hint="eastAsia" w:ascii="方正仿宋简体" w:hAnsi="方正仿宋简体" w:eastAsia="方正仿宋简体" w:cs="方正仿宋简体"/>
          <w:sz w:val="32"/>
          <w:szCs w:val="32"/>
          <w:lang w:eastAsia="zh-CN"/>
        </w:rPr>
        <w:t>》和中共井陉县委、井陉县人民政府印发</w:t>
      </w:r>
      <w:r>
        <w:rPr>
          <w:rFonts w:hint="eastAsia" w:ascii="方正仿宋简体" w:hAnsi="方正仿宋简体" w:eastAsia="方正仿宋简体" w:cs="方正仿宋简体"/>
          <w:sz w:val="32"/>
          <w:szCs w:val="32"/>
        </w:rPr>
        <w:t>《</w:t>
      </w:r>
      <w:r>
        <w:rPr>
          <w:rFonts w:hint="eastAsia" w:ascii="方正仿宋简体" w:hAnsi="方正仿宋简体" w:eastAsia="方正仿宋简体" w:cs="方正仿宋简体"/>
          <w:sz w:val="32"/>
          <w:szCs w:val="32"/>
          <w:lang w:eastAsia="zh-CN"/>
        </w:rPr>
        <w:t>井陉县</w:t>
      </w:r>
      <w:r>
        <w:rPr>
          <w:rFonts w:hint="eastAsia" w:ascii="方正仿宋简体" w:hAnsi="方正仿宋简体" w:eastAsia="方正仿宋简体" w:cs="方正仿宋简体"/>
          <w:sz w:val="32"/>
          <w:szCs w:val="32"/>
        </w:rPr>
        <w:t>法治政府建设</w:t>
      </w:r>
      <w:r>
        <w:rPr>
          <w:rFonts w:hint="eastAsia" w:ascii="方正仿宋简体" w:hAnsi="方正仿宋简体" w:eastAsia="方正仿宋简体" w:cs="方正仿宋简体"/>
          <w:sz w:val="32"/>
          <w:szCs w:val="32"/>
          <w:lang w:eastAsia="zh-CN"/>
        </w:rPr>
        <w:t>实施方案（</w:t>
      </w:r>
      <w:r>
        <w:rPr>
          <w:rFonts w:hint="eastAsia" w:ascii="方正仿宋简体" w:hAnsi="方正仿宋简体" w:eastAsia="方正仿宋简体" w:cs="方正仿宋简体"/>
          <w:sz w:val="32"/>
          <w:szCs w:val="32"/>
          <w:lang w:val="en-US" w:eastAsia="zh-CN"/>
        </w:rPr>
        <w:t>2021-2025年</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结合我局实际，认真开展工作。现将工作情况总结如下：</w:t>
      </w:r>
    </w:p>
    <w:p w14:paraId="43EDD6F4">
      <w:pPr>
        <w:keepNext w:val="0"/>
        <w:keepLines w:val="0"/>
        <w:pageBreakBefore w:val="0"/>
        <w:kinsoku/>
        <w:wordWrap/>
        <w:overflowPunct/>
        <w:topLinePunct w:val="0"/>
        <w:autoSpaceDN/>
        <w:bidi w:val="0"/>
        <w:adjustRightInd/>
        <w:snapToGrid/>
        <w:spacing w:line="600" w:lineRule="exact"/>
        <w:ind w:firstLine="640" w:firstLineChars="200"/>
        <w:jc w:val="left"/>
        <w:textAlignment w:val="auto"/>
        <w:rPr>
          <w:rFonts w:hint="eastAsia" w:ascii="方正黑体简体" w:hAnsi="方正黑体简体" w:eastAsia="方正黑体简体" w:cs="方正黑体简体"/>
          <w:b w:val="0"/>
          <w:bCs/>
          <w:sz w:val="32"/>
          <w:szCs w:val="32"/>
        </w:rPr>
      </w:pPr>
      <w:r>
        <w:rPr>
          <w:rFonts w:hint="eastAsia" w:ascii="方正黑体简体" w:hAnsi="方正黑体简体" w:eastAsia="方正黑体简体" w:cs="方正黑体简体"/>
          <w:b w:val="0"/>
          <w:bCs/>
          <w:sz w:val="32"/>
          <w:szCs w:val="32"/>
        </w:rPr>
        <w:t>一、加强</w:t>
      </w:r>
      <w:r>
        <w:rPr>
          <w:rStyle w:val="5"/>
          <w:rFonts w:hint="eastAsia" w:ascii="方正黑体简体" w:hAnsi="方正黑体简体" w:eastAsia="方正黑体简体" w:cs="方正黑体简体"/>
          <w:b w:val="0"/>
          <w:bCs/>
          <w:color w:val="000000"/>
          <w:sz w:val="32"/>
          <w:szCs w:val="32"/>
        </w:rPr>
        <w:t>组织领导</w:t>
      </w:r>
      <w:r>
        <w:rPr>
          <w:rFonts w:hint="eastAsia" w:ascii="方正黑体简体" w:hAnsi="方正黑体简体" w:eastAsia="方正黑体简体" w:cs="方正黑体简体"/>
          <w:b w:val="0"/>
          <w:bCs/>
          <w:sz w:val="32"/>
          <w:szCs w:val="32"/>
        </w:rPr>
        <w:t>，</w:t>
      </w:r>
      <w:r>
        <w:rPr>
          <w:rFonts w:hint="eastAsia" w:ascii="方正黑体简体" w:hAnsi="方正黑体简体" w:eastAsia="方正黑体简体" w:cs="方正黑体简体"/>
          <w:b w:val="0"/>
          <w:bCs/>
          <w:color w:val="000000"/>
          <w:sz w:val="32"/>
          <w:szCs w:val="32"/>
        </w:rPr>
        <w:t>落实党政主要负责人履行推进法治建设第一责任人职责，</w:t>
      </w:r>
      <w:r>
        <w:rPr>
          <w:rFonts w:hint="eastAsia" w:ascii="方正黑体简体" w:hAnsi="方正黑体简体" w:eastAsia="方正黑体简体" w:cs="方正黑体简体"/>
          <w:b w:val="0"/>
          <w:bCs/>
          <w:sz w:val="32"/>
          <w:szCs w:val="32"/>
        </w:rPr>
        <w:t>深入学习贯彻习近平法治思想</w:t>
      </w:r>
    </w:p>
    <w:p w14:paraId="3EB56262">
      <w:pPr>
        <w:pStyle w:val="7"/>
        <w:keepNext w:val="0"/>
        <w:keepLines w:val="0"/>
        <w:pageBreakBefore w:val="0"/>
        <w:kinsoku/>
        <w:wordWrap/>
        <w:overflowPunct/>
        <w:topLinePunct w:val="0"/>
        <w:autoSpaceDN/>
        <w:bidi w:val="0"/>
        <w:adjustRightInd/>
        <w:snapToGrid/>
        <w:spacing w:line="600" w:lineRule="exact"/>
        <w:ind w:firstLine="800" w:firstLineChars="25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sz w:val="32"/>
          <w:szCs w:val="32"/>
        </w:rPr>
        <w:t>深入学习贯彻习近平法治思想，纳入局党组理论学习中心组内容。</w:t>
      </w:r>
      <w:r>
        <w:rPr>
          <w:rFonts w:hint="eastAsia" w:ascii="方正仿宋简体" w:hAnsi="方正仿宋简体" w:eastAsia="方正仿宋简体" w:cs="方正仿宋简体"/>
          <w:b/>
          <w:bCs/>
          <w:color w:val="000000"/>
          <w:sz w:val="32"/>
          <w:szCs w:val="32"/>
        </w:rPr>
        <w:t>一是</w:t>
      </w:r>
      <w:r>
        <w:rPr>
          <w:rFonts w:hint="eastAsia" w:ascii="方正仿宋简体" w:hAnsi="方正仿宋简体" w:eastAsia="方正仿宋简体" w:cs="方正仿宋简体"/>
          <w:b w:val="0"/>
          <w:bCs w:val="0"/>
          <w:color w:val="000000"/>
          <w:sz w:val="32"/>
          <w:szCs w:val="32"/>
          <w:lang w:eastAsia="zh-CN"/>
        </w:rPr>
        <w:t>继续由</w:t>
      </w:r>
      <w:r>
        <w:rPr>
          <w:rFonts w:hint="eastAsia" w:ascii="方正仿宋简体" w:hAnsi="方正仿宋简体" w:eastAsia="方正仿宋简体" w:cs="方正仿宋简体"/>
          <w:color w:val="000000"/>
          <w:sz w:val="32"/>
          <w:szCs w:val="32"/>
        </w:rPr>
        <w:t>以局长为组长</w:t>
      </w:r>
      <w:r>
        <w:rPr>
          <w:rFonts w:hint="eastAsia" w:ascii="方正仿宋简体" w:hAnsi="方正仿宋简体" w:eastAsia="方正仿宋简体" w:cs="方正仿宋简体"/>
          <w:color w:val="000000"/>
          <w:sz w:val="32"/>
          <w:szCs w:val="32"/>
          <w:lang w:eastAsia="zh-CN"/>
        </w:rPr>
        <w:t>的</w:t>
      </w:r>
      <w:r>
        <w:rPr>
          <w:rFonts w:hint="eastAsia" w:ascii="方正仿宋简体" w:hAnsi="方正仿宋简体" w:eastAsia="方正仿宋简体" w:cs="方正仿宋简体"/>
          <w:color w:val="000000"/>
          <w:sz w:val="32"/>
          <w:szCs w:val="32"/>
        </w:rPr>
        <w:t>依法行政工作领导小组统一组织领导全局依法行政工作</w:t>
      </w:r>
      <w:r>
        <w:rPr>
          <w:rFonts w:hint="eastAsia" w:ascii="方正仿宋简体" w:hAnsi="方正仿宋简体" w:eastAsia="方正仿宋简体" w:cs="方正仿宋简体"/>
          <w:b w:val="0"/>
          <w:bCs w:val="0"/>
          <w:color w:val="000000"/>
          <w:sz w:val="32"/>
          <w:szCs w:val="32"/>
        </w:rPr>
        <w:t>。</w:t>
      </w:r>
      <w:r>
        <w:rPr>
          <w:rFonts w:hint="eastAsia" w:ascii="方正仿宋简体" w:hAnsi="方正仿宋简体" w:eastAsia="方正仿宋简体" w:cs="方正仿宋简体"/>
          <w:b/>
          <w:bCs/>
          <w:color w:val="000000"/>
          <w:sz w:val="32"/>
          <w:szCs w:val="32"/>
        </w:rPr>
        <w:t>二是</w:t>
      </w:r>
      <w:r>
        <w:rPr>
          <w:rFonts w:hint="eastAsia" w:ascii="方正仿宋简体" w:hAnsi="方正仿宋简体" w:eastAsia="方正仿宋简体" w:cs="方正仿宋简体"/>
          <w:b w:val="0"/>
          <w:bCs w:val="0"/>
          <w:color w:val="000000"/>
          <w:sz w:val="32"/>
          <w:szCs w:val="32"/>
        </w:rPr>
        <w:t>加</w:t>
      </w:r>
      <w:r>
        <w:rPr>
          <w:rFonts w:hint="eastAsia" w:ascii="方正仿宋简体" w:hAnsi="方正仿宋简体" w:eastAsia="方正仿宋简体" w:cs="方正仿宋简体"/>
          <w:color w:val="000000"/>
          <w:sz w:val="32"/>
          <w:szCs w:val="32"/>
        </w:rPr>
        <w:t>强法治建设领导责任制，明确单位</w:t>
      </w:r>
      <w:r>
        <w:rPr>
          <w:rFonts w:hint="eastAsia" w:ascii="方正仿宋简体" w:hAnsi="方正仿宋简体" w:eastAsia="方正仿宋简体" w:cs="方正仿宋简体"/>
          <w:color w:val="000000"/>
          <w:sz w:val="32"/>
          <w:szCs w:val="32"/>
          <w:lang w:eastAsia="zh-CN"/>
        </w:rPr>
        <w:t>主要</w:t>
      </w:r>
      <w:r>
        <w:rPr>
          <w:rFonts w:hint="eastAsia" w:ascii="方正仿宋简体" w:hAnsi="方正仿宋简体" w:eastAsia="方正仿宋简体" w:cs="方正仿宋简体"/>
          <w:color w:val="000000"/>
          <w:sz w:val="32"/>
          <w:szCs w:val="32"/>
        </w:rPr>
        <w:t>领导亲自抓，对全系统法治建设的总体目标、主要任务及工作措施提出明确要求，形成稳步有序推进的工作格局。</w:t>
      </w:r>
      <w:r>
        <w:rPr>
          <w:rFonts w:hint="eastAsia" w:ascii="方正仿宋简体" w:hAnsi="方正仿宋简体" w:eastAsia="方正仿宋简体" w:cs="方正仿宋简体"/>
          <w:b/>
          <w:bCs/>
          <w:color w:val="000000"/>
          <w:sz w:val="32"/>
          <w:szCs w:val="32"/>
        </w:rPr>
        <w:t>三是</w:t>
      </w:r>
      <w:r>
        <w:rPr>
          <w:rFonts w:hint="eastAsia" w:ascii="方正仿宋简体" w:hAnsi="方正仿宋简体" w:eastAsia="方正仿宋简体" w:cs="方正仿宋简体"/>
          <w:color w:val="000000"/>
          <w:sz w:val="32"/>
          <w:szCs w:val="32"/>
        </w:rPr>
        <w:t>严格执法制度，真正做到有法可依，有法必依，执法必严，违法必究，做到了情为民所系、权为民所用、利为民所谋。</w:t>
      </w:r>
    </w:p>
    <w:p w14:paraId="41B46084">
      <w:pPr>
        <w:keepNext w:val="0"/>
        <w:keepLines w:val="0"/>
        <w:pageBreakBefore w:val="0"/>
        <w:numPr>
          <w:ilvl w:val="0"/>
          <w:numId w:val="1"/>
        </w:numPr>
        <w:kinsoku/>
        <w:wordWrap/>
        <w:overflowPunct/>
        <w:topLinePunct w:val="0"/>
        <w:autoSpaceDN/>
        <w:bidi w:val="0"/>
        <w:adjustRightInd/>
        <w:snapToGrid/>
        <w:spacing w:line="600" w:lineRule="exact"/>
        <w:ind w:firstLine="640" w:firstLineChars="200"/>
        <w:textAlignment w:val="auto"/>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围绕全县建设一流营商环境、助力县域经济社会高质量发展</w:t>
      </w:r>
    </w:p>
    <w:p w14:paraId="76B9FD3D">
      <w:pPr>
        <w:keepNext w:val="0"/>
        <w:keepLines w:val="0"/>
        <w:pageBreakBefore w:val="0"/>
        <w:numPr>
          <w:ilvl w:val="0"/>
          <w:numId w:val="0"/>
        </w:numPr>
        <w:kinsoku/>
        <w:wordWrap/>
        <w:overflowPunct/>
        <w:topLinePunct w:val="0"/>
        <w:autoSpaceDN/>
        <w:bidi w:val="0"/>
        <w:adjustRightInd/>
        <w:snapToGrid/>
        <w:spacing w:line="600" w:lineRule="exact"/>
        <w:ind w:firstLine="640" w:firstLineChars="200"/>
        <w:textAlignment w:val="auto"/>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全面推行轻微违法行为包容免罚，有效落实“轻微不罚、首违免罚”规定，努力做到宽严相济、法理相融，让行政执法既有力度又有温度；优化涉企行政执法方式，深入企业向劳动者宣传职业病防治法律法规、职业健康体检相关知识，推行“非现场执法”方式，尽最大努力、用最大力度减少行政执法对企业正常生产经营的影响。</w:t>
      </w:r>
    </w:p>
    <w:p w14:paraId="704DD410">
      <w:pPr>
        <w:keepNext w:val="0"/>
        <w:keepLines w:val="0"/>
        <w:pageBreakBefore w:val="0"/>
        <w:widowControl w:val="0"/>
        <w:numPr>
          <w:ilvl w:val="0"/>
          <w:numId w:val="0"/>
        </w:numPr>
        <w:kinsoku/>
        <w:wordWrap/>
        <w:overflowPunct/>
        <w:topLinePunct w:val="0"/>
        <w:autoSpaceDE w:val="0"/>
        <w:autoSpaceDN/>
        <w:bidi w:val="0"/>
        <w:adjustRightInd/>
        <w:snapToGrid/>
        <w:spacing w:line="600" w:lineRule="exact"/>
        <w:ind w:firstLine="640" w:firstLineChars="200"/>
        <w:textAlignment w:val="auto"/>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b w:val="0"/>
          <w:bCs w:val="0"/>
          <w:sz w:val="32"/>
          <w:szCs w:val="32"/>
          <w:lang w:val="en-US" w:eastAsia="zh-CN"/>
        </w:rPr>
        <w:t>三、全面依法履行政府职能，深化推动法治政府建设工作</w:t>
      </w:r>
    </w:p>
    <w:p w14:paraId="18276DA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（一）主要举措</w:t>
      </w:r>
    </w:p>
    <w:p w14:paraId="571E0BE0">
      <w:pPr>
        <w:keepNext w:val="0"/>
        <w:keepLines w:val="0"/>
        <w:pageBreakBefore w:val="0"/>
        <w:numPr>
          <w:ilvl w:val="0"/>
          <w:numId w:val="0"/>
        </w:numPr>
        <w:kinsoku/>
        <w:wordWrap/>
        <w:overflowPunct/>
        <w:topLinePunct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color w:val="auto"/>
          <w:sz w:val="32"/>
          <w:szCs w:val="32"/>
          <w:lang w:eastAsia="zh-CN"/>
        </w:rPr>
      </w:pPr>
      <w:r>
        <w:rPr>
          <w:rFonts w:hint="eastAsia" w:ascii="方正仿宋简体" w:hAnsi="方正仿宋简体" w:eastAsia="方正仿宋简体" w:cs="方正仿宋简体"/>
          <w:b/>
          <w:bCs/>
          <w:color w:val="auto"/>
          <w:sz w:val="32"/>
          <w:szCs w:val="32"/>
          <w:lang w:val="en-US" w:eastAsia="zh-CN"/>
        </w:rPr>
        <w:t>1.建立重大执法决定清单。</w:t>
      </w:r>
      <w:r>
        <w:rPr>
          <w:rFonts w:hint="eastAsia" w:ascii="方正仿宋简体" w:hAnsi="方正仿宋简体" w:eastAsia="方正仿宋简体" w:cs="方正仿宋简体"/>
          <w:color w:val="auto"/>
          <w:sz w:val="32"/>
          <w:szCs w:val="32"/>
          <w:lang w:val="en-US" w:eastAsia="zh-CN"/>
        </w:rPr>
        <w:t>严格执行重大行政执法决定法制审核制度，及时报送重大行政执法决定，并进行审核，同时结合本单位工作实际，建立了重大执法决定目录清单</w:t>
      </w:r>
      <w:r>
        <w:rPr>
          <w:rFonts w:hint="eastAsia" w:ascii="方正仿宋简体" w:hAnsi="方正仿宋简体" w:eastAsia="方正仿宋简体" w:cs="方正仿宋简体"/>
          <w:color w:val="auto"/>
          <w:sz w:val="32"/>
          <w:szCs w:val="32"/>
          <w:lang w:eastAsia="zh-CN"/>
        </w:rPr>
        <w:t>。</w:t>
      </w:r>
    </w:p>
    <w:p w14:paraId="1F1EC409">
      <w:pPr>
        <w:keepNext w:val="0"/>
        <w:keepLines w:val="0"/>
        <w:pageBreakBefore w:val="0"/>
        <w:numPr>
          <w:ilvl w:val="0"/>
          <w:numId w:val="0"/>
        </w:numPr>
        <w:kinsoku/>
        <w:wordWrap/>
        <w:overflowPunct/>
        <w:topLinePunct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color w:val="auto"/>
          <w:sz w:val="32"/>
          <w:szCs w:val="32"/>
          <w:lang w:eastAsia="zh-CN"/>
        </w:rPr>
      </w:pPr>
      <w:r>
        <w:rPr>
          <w:rFonts w:hint="eastAsia" w:ascii="方正仿宋简体" w:hAnsi="方正仿宋简体" w:eastAsia="方正仿宋简体" w:cs="方正仿宋简体"/>
          <w:b/>
          <w:bCs/>
          <w:color w:val="auto"/>
          <w:sz w:val="32"/>
          <w:szCs w:val="32"/>
          <w:lang w:val="en-US" w:eastAsia="zh-CN"/>
        </w:rPr>
        <w:t>2.积极发挥法律顾问作用。</w:t>
      </w:r>
      <w:r>
        <w:rPr>
          <w:rFonts w:hint="eastAsia" w:ascii="方正仿宋简体" w:hAnsi="方正仿宋简体" w:eastAsia="方正仿宋简体" w:cs="方正仿宋简体"/>
          <w:color w:val="auto"/>
          <w:sz w:val="32"/>
          <w:szCs w:val="32"/>
          <w:lang w:eastAsia="zh-CN"/>
        </w:rPr>
        <w:t>符合重大行政处罚案件范围的，均邀请法律顾问进行审核并发表法律意见，进一步提升规避法律风险的能力，增强运用法治思维和法治方式履职的主动性和自觉性。</w:t>
      </w:r>
    </w:p>
    <w:p w14:paraId="71311784">
      <w:pPr>
        <w:keepNext w:val="0"/>
        <w:keepLines w:val="0"/>
        <w:pageBreakBefore w:val="0"/>
        <w:numPr>
          <w:ilvl w:val="0"/>
          <w:numId w:val="0"/>
        </w:numPr>
        <w:kinsoku/>
        <w:wordWrap/>
        <w:overflowPunct/>
        <w:topLinePunct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color w:val="auto"/>
          <w:sz w:val="32"/>
          <w:szCs w:val="32"/>
          <w:lang w:eastAsia="zh-CN"/>
        </w:rPr>
      </w:pPr>
      <w:r>
        <w:rPr>
          <w:rFonts w:hint="eastAsia" w:ascii="方正仿宋简体" w:hAnsi="方正仿宋简体" w:eastAsia="方正仿宋简体" w:cs="方正仿宋简体"/>
          <w:b/>
          <w:bCs/>
          <w:color w:val="auto"/>
          <w:sz w:val="32"/>
          <w:szCs w:val="32"/>
          <w:lang w:val="en-US" w:eastAsia="zh-CN"/>
        </w:rPr>
        <w:t>3.规范明确审核事项。</w:t>
      </w:r>
      <w:r>
        <w:rPr>
          <w:rFonts w:hint="eastAsia" w:ascii="方正仿宋简体" w:hAnsi="方正仿宋简体" w:eastAsia="方正仿宋简体" w:cs="方正仿宋简体"/>
          <w:color w:val="auto"/>
          <w:sz w:val="32"/>
          <w:szCs w:val="32"/>
          <w:lang w:eastAsia="zh-CN"/>
        </w:rPr>
        <w:t>明确重大执法决定法制审核范围,确定审核的具体内容,重点围绕执法主体权限、违法主体认定、事实是否清楚、证据是否确凿、适用依据是否准确、行政裁量权行使是否适当、程序是否合法、法律文书制作是否规范等方面,依法开展审核工作。在重大行政处罚等行政执法决定作出前，认真进行法制审核，未经法制审核或者审核未通过的，不得作出决定。</w:t>
      </w:r>
    </w:p>
    <w:p w14:paraId="19370D89">
      <w:pPr>
        <w:keepNext w:val="0"/>
        <w:keepLines w:val="0"/>
        <w:pageBreakBefore w:val="0"/>
        <w:numPr>
          <w:ilvl w:val="0"/>
          <w:numId w:val="0"/>
        </w:numPr>
        <w:kinsoku/>
        <w:wordWrap/>
        <w:overflowPunct/>
        <w:topLinePunct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color w:val="auto"/>
          <w:sz w:val="32"/>
          <w:szCs w:val="32"/>
          <w:lang w:val="en-US" w:eastAsia="zh-CN"/>
        </w:rPr>
      </w:pPr>
      <w:r>
        <w:rPr>
          <w:rFonts w:hint="eastAsia" w:ascii="方正仿宋简体" w:hAnsi="方正仿宋简体" w:eastAsia="方正仿宋简体" w:cs="方正仿宋简体"/>
          <w:b/>
          <w:bCs/>
          <w:color w:val="auto"/>
          <w:sz w:val="32"/>
          <w:szCs w:val="32"/>
          <w:lang w:val="en-US" w:eastAsia="zh-CN"/>
        </w:rPr>
        <w:t>4.着力提升监管效能。</w:t>
      </w:r>
      <w:r>
        <w:rPr>
          <w:rFonts w:hint="eastAsia" w:ascii="方正仿宋简体" w:hAnsi="方正仿宋简体" w:eastAsia="方正仿宋简体" w:cs="方正仿宋简体"/>
          <w:color w:val="auto"/>
          <w:sz w:val="32"/>
          <w:szCs w:val="32"/>
          <w:lang w:val="en-US" w:eastAsia="zh-CN"/>
        </w:rPr>
        <w:t>将重点监管与“双随机、一公开”监管有效对接，对重点检查事项、重要监管领域及高风险主体通过加大抽查比例和频次等监管措施，守住安全底线。</w:t>
      </w:r>
    </w:p>
    <w:p w14:paraId="588ACAB5">
      <w:pPr>
        <w:keepNext w:val="0"/>
        <w:keepLines w:val="0"/>
        <w:pageBreakBefore w:val="0"/>
        <w:numPr>
          <w:ilvl w:val="0"/>
          <w:numId w:val="0"/>
        </w:numPr>
        <w:kinsoku/>
        <w:wordWrap/>
        <w:overflowPunct/>
        <w:topLinePunct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color w:val="auto"/>
          <w:sz w:val="32"/>
          <w:szCs w:val="32"/>
          <w:lang w:val="en-US" w:eastAsia="zh-CN"/>
        </w:rPr>
      </w:pPr>
      <w:r>
        <w:rPr>
          <w:rFonts w:hint="eastAsia" w:ascii="方正仿宋简体" w:hAnsi="方正仿宋简体" w:eastAsia="方正仿宋简体" w:cs="方正仿宋简体"/>
          <w:b/>
          <w:bCs/>
          <w:color w:val="auto"/>
          <w:sz w:val="32"/>
          <w:szCs w:val="32"/>
          <w:lang w:val="en-US" w:eastAsia="zh-CN"/>
        </w:rPr>
        <w:t>5.规范随机抽查工作程序。</w:t>
      </w:r>
      <w:r>
        <w:rPr>
          <w:rFonts w:hint="eastAsia" w:ascii="方正仿宋简体" w:hAnsi="方正仿宋简体" w:eastAsia="方正仿宋简体" w:cs="方正仿宋简体"/>
          <w:color w:val="auto"/>
          <w:sz w:val="32"/>
          <w:szCs w:val="32"/>
          <w:lang w:val="en-US" w:eastAsia="zh-CN"/>
        </w:rPr>
        <w:t>严格规范随机抽查工作程序，提高“双随机、一公开”监管规范化、标准化水平。抽查结果及后续处理结果及时向社会公开。健全随机抽查后续处置机制，规范问题线索的转办、移送等工作，依法定程序及时移交有处置权限的机构和相关部门，涉嫌犯罪的及时移送司法机关，实现随机抽查监管闭环。</w:t>
      </w:r>
    </w:p>
    <w:p w14:paraId="645C6757">
      <w:pPr>
        <w:keepNext w:val="0"/>
        <w:keepLines w:val="0"/>
        <w:pageBreakBefore w:val="0"/>
        <w:numPr>
          <w:ilvl w:val="0"/>
          <w:numId w:val="0"/>
        </w:numPr>
        <w:kinsoku/>
        <w:wordWrap/>
        <w:overflowPunct/>
        <w:topLinePunct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color w:val="auto"/>
          <w:sz w:val="32"/>
          <w:szCs w:val="32"/>
          <w:lang w:val="en-US" w:eastAsia="zh-CN"/>
        </w:rPr>
      </w:pPr>
      <w:r>
        <w:rPr>
          <w:rFonts w:hint="eastAsia" w:ascii="方正仿宋简体" w:hAnsi="方正仿宋简体" w:eastAsia="方正仿宋简体" w:cs="方正仿宋简体"/>
          <w:b/>
          <w:bCs/>
          <w:color w:val="auto"/>
          <w:sz w:val="32"/>
          <w:szCs w:val="32"/>
          <w:lang w:val="en-US" w:eastAsia="zh-CN"/>
        </w:rPr>
        <w:t>6.加强执法人员业务能力。</w:t>
      </w:r>
      <w:r>
        <w:rPr>
          <w:rFonts w:hint="eastAsia" w:ascii="方正仿宋简体" w:hAnsi="方正仿宋简体" w:eastAsia="方正仿宋简体" w:cs="方正仿宋简体"/>
          <w:color w:val="auto"/>
          <w:sz w:val="32"/>
          <w:szCs w:val="32"/>
          <w:lang w:val="en-US" w:eastAsia="zh-CN"/>
        </w:rPr>
        <w:t>定期开展业务能力培训，努力打造一支讲党性、讲政治、讲大局、讲团结、业务精湛、素质过硬的执法队伍，满足联合抽查工作需求，实现抽查工作规范有序。</w:t>
      </w:r>
    </w:p>
    <w:p w14:paraId="2612D7E0">
      <w:pPr>
        <w:keepNext w:val="0"/>
        <w:keepLines w:val="0"/>
        <w:pageBreakBefore w:val="0"/>
        <w:numPr>
          <w:ilvl w:val="0"/>
          <w:numId w:val="0"/>
        </w:numPr>
        <w:kinsoku/>
        <w:wordWrap/>
        <w:overflowPunct/>
        <w:topLinePunct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color w:val="auto"/>
          <w:sz w:val="32"/>
          <w:szCs w:val="32"/>
          <w:lang w:val="en-US" w:eastAsia="zh-CN"/>
        </w:rPr>
      </w:pPr>
      <w:r>
        <w:rPr>
          <w:rFonts w:hint="eastAsia" w:ascii="方正仿宋简体" w:hAnsi="方正仿宋简体" w:eastAsia="方正仿宋简体" w:cs="方正仿宋简体"/>
          <w:b/>
          <w:bCs/>
          <w:color w:val="auto"/>
          <w:sz w:val="32"/>
          <w:szCs w:val="32"/>
          <w:lang w:val="en-US" w:eastAsia="zh-CN"/>
        </w:rPr>
        <w:t>7.全面完成双随机一公开工作任务。</w:t>
      </w:r>
      <w:r>
        <w:rPr>
          <w:rFonts w:hint="eastAsia" w:ascii="方正仿宋简体" w:hAnsi="方正仿宋简体" w:eastAsia="方正仿宋简体" w:cs="方正仿宋简体"/>
          <w:color w:val="auto"/>
          <w:sz w:val="32"/>
          <w:szCs w:val="32"/>
          <w:lang w:val="en-US" w:eastAsia="zh-CN"/>
        </w:rPr>
        <w:t>由省卫健委从河北卫生健康监督执法信息系统中随机抽取检查对象及相应匹配的检查人员，生成任务清单，并通过移动执法终端将抽查任务下达到每名承担抽查任务的执法人员。</w:t>
      </w:r>
      <w:r>
        <w:rPr>
          <w:rFonts w:hint="eastAsia" w:ascii="方正仿宋简体" w:eastAsia="方正仿宋简体"/>
          <w:color w:val="auto"/>
          <w:sz w:val="32"/>
          <w:szCs w:val="32"/>
        </w:rPr>
        <w:t xml:space="preserve"> </w:t>
      </w:r>
      <w:r>
        <w:rPr>
          <w:rFonts w:hint="eastAsia" w:ascii="方正仿宋简体" w:eastAsia="方正仿宋简体"/>
          <w:color w:val="auto"/>
          <w:kern w:val="0"/>
          <w:sz w:val="32"/>
          <w:szCs w:val="32"/>
          <w:shd w:val="clear" w:color="auto" w:fill="FFFFFF"/>
        </w:rPr>
        <w:t>202</w:t>
      </w:r>
      <w:r>
        <w:rPr>
          <w:rFonts w:hint="eastAsia" w:ascii="方正仿宋简体" w:eastAsia="方正仿宋简体"/>
          <w:color w:val="auto"/>
          <w:kern w:val="0"/>
          <w:sz w:val="32"/>
          <w:szCs w:val="32"/>
          <w:shd w:val="clear" w:color="auto" w:fill="FFFFFF"/>
          <w:lang w:val="en-US" w:eastAsia="zh-CN"/>
        </w:rPr>
        <w:t>5</w:t>
      </w:r>
      <w:r>
        <w:rPr>
          <w:rFonts w:hint="eastAsia" w:ascii="方正仿宋简体" w:eastAsia="方正仿宋简体"/>
          <w:color w:val="auto"/>
          <w:kern w:val="0"/>
          <w:sz w:val="32"/>
          <w:szCs w:val="32"/>
          <w:shd w:val="clear" w:color="auto" w:fill="FFFFFF"/>
        </w:rPr>
        <w:t>年国家共抽取我县</w:t>
      </w:r>
      <w:r>
        <w:rPr>
          <w:rFonts w:hint="eastAsia" w:ascii="方正仿宋简体" w:eastAsia="方正仿宋简体"/>
          <w:color w:val="auto"/>
          <w:kern w:val="0"/>
          <w:sz w:val="32"/>
          <w:szCs w:val="32"/>
          <w:shd w:val="clear" w:color="auto" w:fill="FFFFFF"/>
          <w:lang w:val="en-US" w:eastAsia="zh-CN"/>
        </w:rPr>
        <w:t>93</w:t>
      </w:r>
      <w:r>
        <w:rPr>
          <w:rFonts w:hint="eastAsia" w:ascii="方正仿宋简体" w:eastAsia="方正仿宋简体"/>
          <w:color w:val="auto"/>
          <w:kern w:val="0"/>
          <w:sz w:val="32"/>
          <w:szCs w:val="32"/>
          <w:shd w:val="clear" w:color="auto" w:fill="FFFFFF"/>
        </w:rPr>
        <w:t>家单位，</w:t>
      </w:r>
      <w:r>
        <w:rPr>
          <w:rFonts w:hint="eastAsia" w:ascii="方正仿宋简体" w:hAnsi="方正仿宋简体" w:eastAsia="方正仿宋简体" w:cs="方正仿宋简体"/>
          <w:color w:val="auto"/>
          <w:sz w:val="32"/>
          <w:szCs w:val="32"/>
          <w:lang w:val="en-US" w:eastAsia="zh-CN"/>
        </w:rPr>
        <w:t>监督完成率均为100%，完结率均为100%。</w:t>
      </w:r>
    </w:p>
    <w:p w14:paraId="5B81C78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ascii="方正楷体简体" w:hAnsi="方正楷体简体" w:eastAsia="方正楷体简体" w:cs="方正楷体简体"/>
          <w:b/>
          <w:bCs/>
          <w:kern w:val="2"/>
          <w:sz w:val="32"/>
          <w:szCs w:val="32"/>
          <w:lang w:val="en-US" w:eastAsia="zh-CN" w:bidi="ar-SA"/>
        </w:rPr>
      </w:pPr>
      <w:r>
        <w:rPr>
          <w:rFonts w:hint="eastAsia" w:ascii="方正楷体简体" w:hAnsi="方正楷体简体" w:eastAsia="方正楷体简体" w:cs="方正楷体简体"/>
          <w:b/>
          <w:bCs/>
          <w:kern w:val="2"/>
          <w:sz w:val="32"/>
          <w:szCs w:val="32"/>
          <w:lang w:val="en-US" w:eastAsia="zh-CN" w:bidi="ar-SA"/>
        </w:rPr>
        <w:t>（二）法治工作成效</w:t>
      </w:r>
    </w:p>
    <w:p w14:paraId="3D43799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b/>
          <w:bCs/>
          <w:kern w:val="2"/>
          <w:sz w:val="32"/>
          <w:szCs w:val="32"/>
          <w:lang w:val="en-US" w:eastAsia="zh-CN" w:bidi="ar-SA"/>
        </w:rPr>
        <w:t>一是</w:t>
      </w:r>
      <w:r>
        <w:rPr>
          <w:rFonts w:hint="eastAsia" w:ascii="方正仿宋简体" w:hAnsi="方正仿宋简体" w:eastAsia="方正仿宋简体" w:cs="方正仿宋简体"/>
          <w:b w:val="0"/>
          <w:bCs w:val="0"/>
          <w:kern w:val="2"/>
          <w:sz w:val="32"/>
          <w:szCs w:val="32"/>
          <w:lang w:val="en-US" w:eastAsia="zh-CN" w:bidi="ar-SA"/>
        </w:rPr>
        <w:t>干部职工法律意识明显增强，在岗位上能正确行使职责。近年，没有发生以权谋私、徇私舞弊、有法不依等违法乱纪的人或事。</w:t>
      </w:r>
      <w:r>
        <w:rPr>
          <w:rFonts w:hint="eastAsia" w:ascii="方正仿宋简体" w:hAnsi="方正仿宋简体" w:eastAsia="方正仿宋简体" w:cs="方正仿宋简体"/>
          <w:b/>
          <w:bCs/>
          <w:kern w:val="2"/>
          <w:sz w:val="32"/>
          <w:szCs w:val="32"/>
          <w:lang w:val="en-US" w:eastAsia="zh-CN" w:bidi="ar-SA"/>
        </w:rPr>
        <w:t>二是</w:t>
      </w:r>
      <w:r>
        <w:rPr>
          <w:rFonts w:hint="eastAsia" w:ascii="方正仿宋简体" w:hAnsi="方正仿宋简体" w:eastAsia="方正仿宋简体" w:cs="方正仿宋简体"/>
          <w:b w:val="0"/>
          <w:bCs w:val="0"/>
          <w:kern w:val="2"/>
          <w:sz w:val="32"/>
          <w:szCs w:val="32"/>
          <w:lang w:val="en-US" w:eastAsia="zh-CN" w:bidi="ar-SA"/>
        </w:rPr>
        <w:t>法律素质明显提高，能依法决策、依法管理，养成了依法办事的习惯。</w:t>
      </w:r>
      <w:r>
        <w:rPr>
          <w:rFonts w:hint="eastAsia" w:ascii="方正仿宋简体" w:hAnsi="方正仿宋简体" w:eastAsia="方正仿宋简体" w:cs="方正仿宋简体"/>
          <w:b/>
          <w:bCs/>
          <w:kern w:val="2"/>
          <w:sz w:val="32"/>
          <w:szCs w:val="32"/>
          <w:lang w:val="en-US" w:eastAsia="zh-CN" w:bidi="ar-SA"/>
        </w:rPr>
        <w:t>三是</w:t>
      </w:r>
      <w:r>
        <w:rPr>
          <w:rFonts w:hint="eastAsia" w:ascii="方正仿宋简体" w:hAnsi="方正仿宋简体" w:eastAsia="方正仿宋简体" w:cs="方正仿宋简体"/>
          <w:b w:val="0"/>
          <w:bCs w:val="0"/>
          <w:kern w:val="2"/>
          <w:sz w:val="32"/>
          <w:szCs w:val="32"/>
          <w:lang w:val="en-US" w:eastAsia="zh-CN" w:bidi="ar-SA"/>
        </w:rPr>
        <w:t>行政执法明显规范，</w:t>
      </w:r>
      <w:r>
        <w:rPr>
          <w:rFonts w:hint="eastAsia" w:ascii="方正仿宋简体" w:hAnsi="方正仿宋简体" w:eastAsia="方正仿宋简体" w:cs="方正仿宋简体"/>
          <w:kern w:val="2"/>
          <w:sz w:val="32"/>
          <w:szCs w:val="32"/>
          <w:lang w:val="en-US" w:eastAsia="zh-CN" w:bidi="ar-SA"/>
        </w:rPr>
        <w:t>在卫生监督执法过程中，执法人员能严格履行法定程序，做到适用法律法规正确，执法程序合法，执法队伍整体执法水平和执法能力明显提高。</w:t>
      </w:r>
    </w:p>
    <w:p w14:paraId="23813F76">
      <w:pPr>
        <w:keepNext w:val="0"/>
        <w:keepLines w:val="0"/>
        <w:pageBreakBefore w:val="0"/>
        <w:widowControl w:val="0"/>
        <w:numPr>
          <w:ilvl w:val="0"/>
          <w:numId w:val="0"/>
        </w:numPr>
        <w:kinsoku/>
        <w:wordWrap/>
        <w:overflowPunct/>
        <w:topLinePunct w:val="0"/>
        <w:autoSpaceDE w:val="0"/>
        <w:autoSpaceDN/>
        <w:bidi w:val="0"/>
        <w:adjustRightInd/>
        <w:snapToGrid/>
        <w:spacing w:line="600" w:lineRule="exact"/>
        <w:ind w:leftChars="200" w:firstLine="320" w:firstLineChars="100"/>
        <w:textAlignment w:val="auto"/>
        <w:rPr>
          <w:rFonts w:hint="eastAsia" w:ascii="方正黑体简体" w:hAnsi="方正黑体简体" w:eastAsia="方正黑体简体" w:cs="方正黑体简体"/>
          <w:b w:val="0"/>
          <w:bCs w:val="0"/>
          <w:sz w:val="32"/>
          <w:szCs w:val="32"/>
        </w:rPr>
      </w:pPr>
      <w:r>
        <w:rPr>
          <w:rFonts w:hint="eastAsia" w:ascii="方正黑体简体" w:hAnsi="方正黑体简体" w:eastAsia="方正黑体简体" w:cs="方正黑体简体"/>
          <w:b w:val="0"/>
          <w:bCs w:val="0"/>
          <w:sz w:val="32"/>
          <w:szCs w:val="32"/>
          <w:lang w:eastAsia="zh-CN"/>
        </w:rPr>
        <w:t>四、</w:t>
      </w:r>
      <w:r>
        <w:rPr>
          <w:rFonts w:hint="eastAsia" w:ascii="方正黑体简体" w:hAnsi="方正黑体简体" w:eastAsia="方正黑体简体" w:cs="方正黑体简体"/>
          <w:b w:val="0"/>
          <w:bCs w:val="0"/>
          <w:sz w:val="32"/>
          <w:szCs w:val="32"/>
        </w:rPr>
        <w:t>有序推进“谁执法，谁普法”，以案释法工作</w:t>
      </w:r>
    </w:p>
    <w:p w14:paraId="7E2F114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（一）结合行业特点，组织开展法治宣传教育活动</w:t>
      </w:r>
    </w:p>
    <w:p w14:paraId="5B002AFE">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b/>
          <w:bCs/>
          <w:kern w:val="2"/>
          <w:sz w:val="32"/>
          <w:szCs w:val="32"/>
          <w:lang w:val="en-US" w:eastAsia="zh-CN" w:bidi="ar-SA"/>
        </w:rPr>
        <w:t>一是开展“送法进企业”系列活动。</w:t>
      </w:r>
      <w:r>
        <w:rPr>
          <w:rFonts w:hint="eastAsia" w:ascii="方正仿宋简体" w:hAnsi="方正仿宋简体" w:eastAsia="方正仿宋简体" w:cs="方正仿宋简体"/>
          <w:kern w:val="2"/>
          <w:sz w:val="32"/>
          <w:szCs w:val="32"/>
          <w:lang w:val="en-US" w:eastAsia="zh-CN" w:bidi="ar-SA"/>
        </w:rPr>
        <w:t>组织相关部门到井陉县开发区企业，对职业病防治法知识进行宣传。发放职业病防治法律法规宣传册、工作场所职业病防治要点、职业性尘肺病预防知识等宣传折页五百余份。开展了车间观摩、企业座谈、有奖问答等活动。指导劳动者正确使用职业病防护设施设备和个人职业病防护用品，明确用人单位职业病防治主体责任，讲解常见职业病危害及预防等方面的职业卫生知识。</w:t>
      </w:r>
    </w:p>
    <w:p w14:paraId="563924B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b/>
          <w:bCs/>
          <w:kern w:val="2"/>
          <w:sz w:val="32"/>
          <w:szCs w:val="32"/>
          <w:lang w:val="en-US" w:eastAsia="zh-CN" w:bidi="ar-SA"/>
        </w:rPr>
        <w:t>二是开展“送法进学校”系列宣传活动。</w:t>
      </w:r>
      <w:r>
        <w:rPr>
          <w:rFonts w:hint="eastAsia" w:ascii="方正仿宋简体" w:hAnsi="方正仿宋简体" w:eastAsia="方正仿宋简体" w:cs="方正仿宋简体"/>
          <w:kern w:val="2"/>
          <w:sz w:val="32"/>
          <w:szCs w:val="32"/>
          <w:lang w:val="en-US" w:eastAsia="zh-CN" w:bidi="ar-SA"/>
        </w:rPr>
        <w:t>组织疾控中心、医疗机构深入学校和托幼机构对夏季幼儿常见传染病传播途径、相关症状、预防措施及打击非法行医知识进行宣讲，切实增强家长及老师的传染病防控意识，提升学校传染病防控能力和遇到非法行医后的维权意识。</w:t>
      </w:r>
    </w:p>
    <w:p w14:paraId="47433FAC">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b/>
          <w:bCs/>
          <w:kern w:val="2"/>
          <w:sz w:val="32"/>
          <w:szCs w:val="32"/>
          <w:lang w:val="en-US" w:eastAsia="zh-CN" w:bidi="ar-SA"/>
        </w:rPr>
        <w:t>三是开展“送法进社区”系列宣传活动。</w:t>
      </w:r>
      <w:r>
        <w:rPr>
          <w:rFonts w:hint="eastAsia" w:ascii="方正仿宋简体" w:hAnsi="方正仿宋简体" w:eastAsia="方正仿宋简体" w:cs="方正仿宋简体"/>
          <w:kern w:val="2"/>
          <w:sz w:val="32"/>
          <w:szCs w:val="32"/>
          <w:lang w:val="en-US" w:eastAsia="zh-CN" w:bidi="ar-SA"/>
        </w:rPr>
        <w:t>利用节假日走进社区，重点对县城内二次供水小区开展普法活动，通过摆放宣传展板、发放宣传单、现场咨询等形式，活动现场详细解读了《中华人民共和国传染病防治法》《生活饮用水卫生监督管理办法》《河北省生活饮用水卫生监督管理办法》重点法律条款。通过深入浅出的方式，向小区物业管水人员讲解了饮水安全的相关内容，进一步增强了物业企业对饮用水管理相关法规的知晓率，有助于保障群众饮水安全的权益。</w:t>
      </w:r>
    </w:p>
    <w:p w14:paraId="5FFB439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b/>
          <w:bCs/>
          <w:kern w:val="2"/>
          <w:sz w:val="32"/>
          <w:szCs w:val="32"/>
          <w:lang w:val="en-US" w:eastAsia="zh-CN" w:bidi="ar-SA"/>
        </w:rPr>
        <w:t>四是开展主题日系列宣传活动。</w:t>
      </w:r>
      <w:r>
        <w:rPr>
          <w:rFonts w:hint="eastAsia" w:ascii="方正仿宋简体" w:hAnsi="方正仿宋简体" w:eastAsia="方正仿宋简体" w:cs="方正仿宋简体"/>
          <w:kern w:val="2"/>
          <w:sz w:val="32"/>
          <w:szCs w:val="32"/>
          <w:lang w:val="en-US" w:eastAsia="zh-CN" w:bidi="ar-SA"/>
        </w:rPr>
        <w:t>今年在“3.15消费者权益日”、“国家安全教育日”、“世界标准日”等宣传主题日，我局均开展了不同形式不同内容的宣传活动。</w:t>
      </w:r>
    </w:p>
    <w:p w14:paraId="0C143D6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（二）开展“以案释法”，规范执法行为</w:t>
      </w:r>
    </w:p>
    <w:p w14:paraId="6D57857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方正楷体简体" w:hAnsi="方正楷体简体" w:eastAsia="方正楷体简体" w:cs="方正楷体简体"/>
          <w:b/>
          <w:bCs/>
          <w:sz w:val="32"/>
          <w:szCs w:val="32"/>
          <w:lang w:val="en-US" w:eastAsia="zh-CN"/>
        </w:rPr>
        <w:sectPr>
          <w:footerReference r:id="rId3" w:type="default"/>
          <w:pgSz w:w="11906" w:h="16838"/>
          <w:pgMar w:top="1587" w:right="1279" w:bottom="1587" w:left="1387" w:header="851" w:footer="992" w:gutter="0"/>
          <w:cols w:space="0" w:num="1"/>
          <w:rtlGutter w:val="0"/>
          <w:docGrid w:type="lines" w:linePitch="312" w:charSpace="0"/>
        </w:sectPr>
      </w:pPr>
    </w:p>
    <w:p w14:paraId="378ECC9F">
      <w:pPr>
        <w:keepNext w:val="0"/>
        <w:keepLines w:val="0"/>
        <w:pageBreakBefore w:val="0"/>
        <w:widowControl w:val="0"/>
        <w:numPr>
          <w:ilvl w:val="0"/>
          <w:numId w:val="0"/>
        </w:numPr>
        <w:kinsoku/>
        <w:wordWrap/>
        <w:overflowPunct/>
        <w:topLinePunct w:val="0"/>
        <w:autoSpaceDE w:val="0"/>
        <w:autoSpaceDN/>
        <w:bidi w:val="0"/>
        <w:adjustRightInd/>
        <w:snapToGrid/>
        <w:spacing w:line="600" w:lineRule="exact"/>
        <w:ind w:firstLine="643" w:firstLineChars="200"/>
        <w:textAlignment w:val="auto"/>
        <w:rPr>
          <w:rFonts w:hint="eastAsia" w:ascii="方正仿宋简体" w:hAnsi="方正仿宋简体" w:eastAsia="方正仿宋简体" w:cs="方正仿宋简体"/>
          <w:b w:val="0"/>
          <w:bCs w:val="0"/>
          <w:sz w:val="32"/>
          <w:szCs w:val="32"/>
          <w:lang w:val="en-US" w:eastAsia="zh-CN"/>
        </w:rPr>
      </w:pPr>
      <w:r>
        <w:rPr>
          <w:rFonts w:hint="eastAsia" w:ascii="方正仿宋简体" w:hAnsi="方正仿宋简体" w:eastAsia="方正仿宋简体" w:cs="方正仿宋简体"/>
          <w:b/>
          <w:bCs/>
          <w:sz w:val="32"/>
          <w:szCs w:val="32"/>
          <w:lang w:val="en-US" w:eastAsia="zh-CN"/>
        </w:rPr>
        <w:t>一是以案警示。</w:t>
      </w:r>
      <w:r>
        <w:rPr>
          <w:rFonts w:hint="eastAsia" w:ascii="方正仿宋简体" w:hAnsi="方正仿宋简体" w:eastAsia="方正仿宋简体" w:cs="方正仿宋简体"/>
          <w:b w:val="0"/>
          <w:bCs w:val="0"/>
          <w:sz w:val="32"/>
          <w:szCs w:val="32"/>
          <w:lang w:val="en-US" w:eastAsia="zh-CN"/>
        </w:rPr>
        <w:t>监督执法机构每季度定期召开以案释法总结分析会，对当月案件进行互查，找出问题，并对照省市卫生行政执法案卷稽查标准，对卫生执法案卷中存在的常见问题进行分析探讨，找出案例中涉及单位违法违规的共同点，分析原因，全面汇总。同时，深刻反思案卷中问题，认真汲取教训，切实从思想上、行动上查找问题根源，逐一对照查找问题，举一反三，全面整改。</w:t>
      </w:r>
    </w:p>
    <w:p w14:paraId="4B22A971">
      <w:pPr>
        <w:keepNext w:val="0"/>
        <w:keepLines w:val="0"/>
        <w:pageBreakBefore w:val="0"/>
        <w:widowControl w:val="0"/>
        <w:numPr>
          <w:ilvl w:val="0"/>
          <w:numId w:val="0"/>
        </w:numPr>
        <w:tabs>
          <w:tab w:val="left" w:pos="210"/>
        </w:tabs>
        <w:kinsoku/>
        <w:wordWrap/>
        <w:overflowPunct/>
        <w:topLinePunct w:val="0"/>
        <w:autoSpaceDE/>
        <w:autoSpaceDN/>
        <w:bidi w:val="0"/>
        <w:adjustRightInd/>
        <w:snapToGrid/>
        <w:spacing w:line="600" w:lineRule="exact"/>
        <w:ind w:firstLine="643" w:firstLineChars="200"/>
        <w:textAlignment w:val="auto"/>
        <w:rPr>
          <w:rFonts w:hint="eastAsia" w:ascii="方正仿宋简体" w:hAnsi="方正仿宋简体" w:eastAsia="方正仿宋简体" w:cs="方正仿宋简体"/>
          <w:b w:val="0"/>
          <w:bCs w:val="0"/>
          <w:sz w:val="32"/>
          <w:szCs w:val="32"/>
          <w:lang w:val="en-US" w:eastAsia="zh-CN"/>
        </w:rPr>
      </w:pPr>
      <w:r>
        <w:rPr>
          <w:rFonts w:hint="eastAsia" w:ascii="方正仿宋简体" w:hAnsi="方正仿宋简体" w:eastAsia="方正仿宋简体" w:cs="方正仿宋简体"/>
          <w:b/>
          <w:bCs/>
          <w:sz w:val="32"/>
          <w:szCs w:val="32"/>
          <w:lang w:val="en-US" w:eastAsia="zh-CN"/>
        </w:rPr>
        <w:t>二是以案说法。</w:t>
      </w:r>
      <w:r>
        <w:rPr>
          <w:rFonts w:hint="eastAsia" w:ascii="方正仿宋简体" w:hAnsi="方正仿宋简体" w:eastAsia="方正仿宋简体" w:cs="方正仿宋简体"/>
          <w:b w:val="0"/>
          <w:bCs w:val="0"/>
          <w:sz w:val="32"/>
          <w:szCs w:val="32"/>
          <w:lang w:val="en-US" w:eastAsia="zh-CN"/>
        </w:rPr>
        <w:t>利用季度例会及日常培训，针对案例中问题对从业单位进行培训，并通报案件中、日常检查中发现的问题，系统讲解法律法规要求，指出问题存在的原因，全面指导如何整改，按照“谁经营、谁负责”的原则，切实解决了为什么错，怎么做是对的问题，通过开展精准培训，变问题点为培训点，变整改点为提升点，让从业单位整改不在盲目。</w:t>
      </w:r>
    </w:p>
    <w:p w14:paraId="6CA4AD1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方正仿宋简体" w:hAnsi="方正仿宋简体" w:eastAsia="方正仿宋简体" w:cs="方正仿宋简体"/>
          <w:b w:val="0"/>
          <w:bCs w:val="0"/>
          <w:sz w:val="32"/>
          <w:szCs w:val="32"/>
          <w:lang w:val="en-US" w:eastAsia="zh-CN"/>
        </w:rPr>
      </w:pPr>
      <w:r>
        <w:rPr>
          <w:rFonts w:hint="eastAsia" w:ascii="方正仿宋简体" w:hAnsi="方正仿宋简体" w:eastAsia="方正仿宋简体" w:cs="方正仿宋简体"/>
          <w:b/>
          <w:bCs/>
          <w:sz w:val="32"/>
          <w:szCs w:val="32"/>
          <w:lang w:val="en-US" w:eastAsia="zh-CN"/>
        </w:rPr>
        <w:t>三是以案促提。</w:t>
      </w:r>
      <w:r>
        <w:rPr>
          <w:rFonts w:hint="eastAsia" w:ascii="方正仿宋简体" w:hAnsi="方正仿宋简体" w:eastAsia="方正仿宋简体" w:cs="方正仿宋简体"/>
          <w:b w:val="0"/>
          <w:bCs w:val="0"/>
          <w:sz w:val="32"/>
          <w:szCs w:val="32"/>
          <w:lang w:val="en-US" w:eastAsia="zh-CN"/>
        </w:rPr>
        <w:t>通过讲实例、讲法规、评亮点、找问题等形式，执法人员对执法的法定程序、证据收集、事实认定、法律适用、裁量应用、文书制作、案卷归档等知识进一步掌握，达到了以讲促学、充电赋能的效果，切实提升了办案水平，优化了案卷质量，为打造一支业务精湛、务实高效、依法行政的卫生监督执法队伍奠定了良好基础。</w:t>
      </w:r>
    </w:p>
    <w:p w14:paraId="6E60A280">
      <w:pPr>
        <w:keepNext w:val="0"/>
        <w:keepLines w:val="0"/>
        <w:pageBreakBefore w:val="0"/>
        <w:widowControl w:val="0"/>
        <w:numPr>
          <w:ilvl w:val="0"/>
          <w:numId w:val="0"/>
        </w:numPr>
        <w:kinsoku/>
        <w:wordWrap/>
        <w:overflowPunct/>
        <w:topLinePunct w:val="0"/>
        <w:autoSpaceDE w:val="0"/>
        <w:autoSpaceDN/>
        <w:bidi w:val="0"/>
        <w:adjustRightInd/>
        <w:snapToGrid/>
        <w:spacing w:line="600" w:lineRule="exact"/>
        <w:ind w:firstLine="640" w:firstLineChars="200"/>
        <w:textAlignment w:val="auto"/>
        <w:rPr>
          <w:rFonts w:hint="eastAsia" w:ascii="方正黑体简体" w:hAnsi="方正黑体简体" w:eastAsia="方正黑体简体" w:cs="方正黑体简体"/>
          <w:b w:val="0"/>
          <w:bCs w:val="0"/>
          <w:sz w:val="32"/>
          <w:szCs w:val="32"/>
          <w:lang w:eastAsia="zh-CN"/>
        </w:rPr>
      </w:pPr>
      <w:r>
        <w:rPr>
          <w:rFonts w:hint="eastAsia" w:ascii="方正黑体简体" w:hAnsi="方正黑体简体" w:eastAsia="方正黑体简体" w:cs="方正黑体简体"/>
          <w:b w:val="0"/>
          <w:bCs w:val="0"/>
          <w:sz w:val="32"/>
          <w:szCs w:val="32"/>
          <w:lang w:eastAsia="zh-CN"/>
        </w:rPr>
        <w:t>五、法治人才引进和培养使用情况</w:t>
      </w:r>
    </w:p>
    <w:p w14:paraId="5AC7D18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eastAsia="zh-CN"/>
        </w:rPr>
        <w:t>近年来，我局积极探索，切实加强执法队伍建设和人才培养。我局现有执法证的执法人员共</w:t>
      </w:r>
      <w:r>
        <w:rPr>
          <w:rFonts w:hint="eastAsia" w:ascii="方正仿宋简体" w:hAnsi="方正仿宋简体" w:eastAsia="方正仿宋简体" w:cs="方正仿宋简体"/>
          <w:sz w:val="32"/>
          <w:szCs w:val="32"/>
          <w:lang w:val="en-US" w:eastAsia="zh-CN"/>
        </w:rPr>
        <w:t>9名，2025</w:t>
      </w:r>
      <w:bookmarkStart w:id="0" w:name="_GoBack"/>
      <w:bookmarkEnd w:id="0"/>
      <w:r>
        <w:rPr>
          <w:rFonts w:hint="eastAsia" w:ascii="方正仿宋简体" w:hAnsi="方正仿宋简体" w:eastAsia="方正仿宋简体" w:cs="方正仿宋简体"/>
          <w:sz w:val="32"/>
          <w:szCs w:val="32"/>
          <w:lang w:val="en-US" w:eastAsia="zh-CN"/>
        </w:rPr>
        <w:t>年新申请执法证件的人员5名。</w:t>
      </w:r>
      <w:r>
        <w:rPr>
          <w:rFonts w:hint="eastAsia" w:ascii="方正仿宋简体" w:hAnsi="方正仿宋简体" w:eastAsia="方正仿宋简体" w:cs="方正仿宋简体"/>
          <w:sz w:val="32"/>
          <w:szCs w:val="32"/>
        </w:rPr>
        <w:t>定期</w:t>
      </w:r>
      <w:r>
        <w:rPr>
          <w:rFonts w:hint="eastAsia" w:ascii="方正仿宋简体" w:hAnsi="方正仿宋简体" w:eastAsia="方正仿宋简体" w:cs="方正仿宋简体"/>
          <w:sz w:val="32"/>
          <w:szCs w:val="32"/>
          <w:lang w:eastAsia="zh-CN"/>
        </w:rPr>
        <w:t>或不定期召开</w:t>
      </w:r>
      <w:r>
        <w:rPr>
          <w:rFonts w:hint="eastAsia" w:ascii="方正仿宋简体" w:hAnsi="方正仿宋简体" w:eastAsia="方正仿宋简体" w:cs="方正仿宋简体"/>
          <w:sz w:val="32"/>
          <w:szCs w:val="32"/>
        </w:rPr>
        <w:t>执法人员培训</w:t>
      </w:r>
      <w:r>
        <w:rPr>
          <w:rFonts w:hint="eastAsia" w:ascii="方正仿宋简体" w:hAnsi="方正仿宋简体" w:eastAsia="方正仿宋简体" w:cs="方正仿宋简体"/>
          <w:sz w:val="32"/>
          <w:szCs w:val="32"/>
          <w:lang w:eastAsia="zh-CN"/>
        </w:rPr>
        <w:t>会</w:t>
      </w:r>
      <w:r>
        <w:rPr>
          <w:rFonts w:hint="eastAsia" w:ascii="方正仿宋简体" w:hAnsi="方正仿宋简体" w:eastAsia="方正仿宋简体" w:cs="方正仿宋简体"/>
          <w:sz w:val="32"/>
          <w:szCs w:val="32"/>
        </w:rPr>
        <w:t>，组织执法人员</w:t>
      </w:r>
      <w:r>
        <w:rPr>
          <w:rFonts w:hint="eastAsia" w:ascii="方正仿宋简体" w:hAnsi="方正仿宋简体" w:eastAsia="方正仿宋简体" w:cs="方正仿宋简体"/>
          <w:sz w:val="32"/>
          <w:szCs w:val="32"/>
          <w:lang w:eastAsia="zh-CN"/>
        </w:rPr>
        <w:t>学习相关业务知识</w:t>
      </w:r>
      <w:r>
        <w:rPr>
          <w:rFonts w:hint="eastAsia" w:ascii="方正仿宋简体" w:hAnsi="方正仿宋简体" w:eastAsia="方正仿宋简体" w:cs="方正仿宋简体"/>
          <w:sz w:val="32"/>
          <w:szCs w:val="32"/>
        </w:rPr>
        <w:t>，不断提升执法人员的专业素养。</w:t>
      </w:r>
      <w:r>
        <w:rPr>
          <w:rFonts w:hint="eastAsia" w:ascii="方正仿宋简体" w:hAnsi="方正仿宋简体" w:eastAsia="方正仿宋简体" w:cs="方正仿宋简体"/>
          <w:sz w:val="32"/>
          <w:szCs w:val="32"/>
          <w:lang w:val="en-US" w:eastAsia="zh-CN"/>
        </w:rPr>
        <w:t>建立健全法治人才使用机制，通过设立法律顾问、法制审核岗位等方式，充分发挥法治人才在卫健工作中的专业作用。</w:t>
      </w:r>
    </w:p>
    <w:p w14:paraId="720FD59A">
      <w:pPr>
        <w:keepNext w:val="0"/>
        <w:keepLines w:val="0"/>
        <w:pageBreakBefore w:val="0"/>
        <w:widowControl w:val="0"/>
        <w:kinsoku/>
        <w:wordWrap/>
        <w:overflowPunct/>
        <w:topLinePunct w:val="0"/>
        <w:autoSpaceDE w:val="0"/>
        <w:autoSpaceDN/>
        <w:bidi w:val="0"/>
        <w:adjustRightInd/>
        <w:snapToGrid/>
        <w:spacing w:line="600" w:lineRule="exact"/>
        <w:jc w:val="right"/>
        <w:textAlignment w:val="auto"/>
        <w:rPr>
          <w:rFonts w:hint="eastAsia" w:ascii="方正仿宋简体" w:hAnsi="方正仿宋简体" w:eastAsia="方正仿宋简体" w:cs="方正仿宋简体"/>
          <w:sz w:val="32"/>
          <w:szCs w:val="32"/>
        </w:rPr>
      </w:pPr>
    </w:p>
    <w:p w14:paraId="70EC76FD">
      <w:pPr>
        <w:keepNext w:val="0"/>
        <w:keepLines w:val="0"/>
        <w:pageBreakBefore w:val="0"/>
        <w:widowControl w:val="0"/>
        <w:kinsoku/>
        <w:wordWrap/>
        <w:overflowPunct/>
        <w:topLinePunct w:val="0"/>
        <w:autoSpaceDE w:val="0"/>
        <w:autoSpaceDN/>
        <w:bidi w:val="0"/>
        <w:adjustRightInd/>
        <w:snapToGrid/>
        <w:spacing w:line="600" w:lineRule="exact"/>
        <w:jc w:val="right"/>
        <w:textAlignment w:val="auto"/>
        <w:rPr>
          <w:rFonts w:hint="eastAsia" w:ascii="方正仿宋简体" w:hAnsi="方正仿宋简体" w:eastAsia="方正仿宋简体" w:cs="方正仿宋简体"/>
          <w:sz w:val="32"/>
          <w:szCs w:val="32"/>
        </w:rPr>
      </w:pPr>
    </w:p>
    <w:p w14:paraId="55D93BA3">
      <w:pPr>
        <w:keepNext w:val="0"/>
        <w:keepLines w:val="0"/>
        <w:pageBreakBefore w:val="0"/>
        <w:widowControl w:val="0"/>
        <w:kinsoku/>
        <w:wordWrap/>
        <w:overflowPunct/>
        <w:topLinePunct w:val="0"/>
        <w:autoSpaceDE w:val="0"/>
        <w:autoSpaceDN/>
        <w:bidi w:val="0"/>
        <w:adjustRightInd/>
        <w:snapToGrid/>
        <w:spacing w:line="600" w:lineRule="exact"/>
        <w:jc w:val="center"/>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 xml:space="preserve">                                   </w:t>
      </w:r>
      <w:r>
        <w:rPr>
          <w:rFonts w:hint="eastAsia" w:ascii="方正仿宋简体" w:hAnsi="方正仿宋简体" w:eastAsia="方正仿宋简体" w:cs="方正仿宋简体"/>
          <w:sz w:val="32"/>
          <w:szCs w:val="32"/>
        </w:rPr>
        <w:t>井陉县卫生健康局</w:t>
      </w:r>
    </w:p>
    <w:p w14:paraId="04CBAEE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仿宋简体" w:hAnsi="方正仿宋简体" w:eastAsia="方正仿宋简体" w:cs="方正仿宋简体"/>
          <w:b/>
          <w:bCs/>
          <w:sz w:val="32"/>
          <w:szCs w:val="32"/>
        </w:rPr>
      </w:pPr>
      <w:r>
        <w:rPr>
          <w:rFonts w:hint="eastAsia" w:ascii="方正仿宋简体" w:hAnsi="方正仿宋简体" w:eastAsia="方正仿宋简体" w:cs="方正仿宋简体"/>
          <w:sz w:val="32"/>
          <w:szCs w:val="32"/>
          <w:lang w:val="en-US" w:eastAsia="zh-CN"/>
        </w:rPr>
        <w:t xml:space="preserve">                                    </w:t>
      </w:r>
      <w:r>
        <w:rPr>
          <w:rFonts w:hint="eastAsia" w:ascii="方正仿宋简体" w:hAnsi="方正仿宋简体" w:eastAsia="方正仿宋简体" w:cs="方正仿宋简体"/>
          <w:sz w:val="32"/>
          <w:szCs w:val="32"/>
        </w:rPr>
        <w:t>202</w:t>
      </w:r>
      <w:r>
        <w:rPr>
          <w:rFonts w:hint="eastAsia" w:ascii="方正仿宋简体" w:hAnsi="方正仿宋简体" w:eastAsia="方正仿宋简体" w:cs="方正仿宋简体"/>
          <w:sz w:val="32"/>
          <w:szCs w:val="32"/>
          <w:lang w:val="en-US" w:eastAsia="zh-CN"/>
        </w:rPr>
        <w:t>5</w:t>
      </w:r>
      <w:r>
        <w:rPr>
          <w:rFonts w:hint="eastAsia" w:ascii="方正仿宋简体" w:hAnsi="方正仿宋简体" w:eastAsia="方正仿宋简体" w:cs="方正仿宋简体"/>
          <w:sz w:val="32"/>
          <w:szCs w:val="32"/>
        </w:rPr>
        <w:t>年</w:t>
      </w:r>
      <w:r>
        <w:rPr>
          <w:rFonts w:hint="eastAsia" w:ascii="方正仿宋简体" w:hAnsi="方正仿宋简体" w:eastAsia="方正仿宋简体" w:cs="方正仿宋简体"/>
          <w:sz w:val="32"/>
          <w:szCs w:val="32"/>
          <w:lang w:val="en-US" w:eastAsia="zh-CN"/>
        </w:rPr>
        <w:t>11</w:t>
      </w:r>
      <w:r>
        <w:rPr>
          <w:rFonts w:hint="eastAsia" w:ascii="方正仿宋简体" w:hAnsi="方正仿宋简体" w:eastAsia="方正仿宋简体" w:cs="方正仿宋简体"/>
          <w:sz w:val="32"/>
          <w:szCs w:val="32"/>
        </w:rPr>
        <w:t>月</w:t>
      </w:r>
      <w:r>
        <w:rPr>
          <w:rFonts w:hint="eastAsia" w:ascii="方正仿宋简体" w:hAnsi="方正仿宋简体" w:eastAsia="方正仿宋简体" w:cs="方正仿宋简体"/>
          <w:sz w:val="32"/>
          <w:szCs w:val="32"/>
          <w:lang w:val="en-US" w:eastAsia="zh-CN"/>
        </w:rPr>
        <w:t>25</w:t>
      </w:r>
      <w:r>
        <w:rPr>
          <w:rFonts w:hint="eastAsia" w:ascii="方正仿宋简体" w:hAnsi="方正仿宋简体" w:eastAsia="方正仿宋简体" w:cs="方正仿宋简体"/>
          <w:sz w:val="32"/>
          <w:szCs w:val="32"/>
        </w:rPr>
        <w:t>日</w:t>
      </w:r>
    </w:p>
    <w:p w14:paraId="17F6E1BC">
      <w:pPr>
        <w:keepNext w:val="0"/>
        <w:keepLines w:val="0"/>
        <w:pageBreakBefore w:val="0"/>
        <w:widowControl w:val="0"/>
        <w:kinsoku/>
        <w:wordWrap/>
        <w:overflowPunct/>
        <w:topLinePunct w:val="0"/>
        <w:autoSpaceDE w:val="0"/>
        <w:autoSpaceDN/>
        <w:bidi w:val="0"/>
        <w:adjustRightInd/>
        <w:snapToGrid/>
        <w:spacing w:line="600" w:lineRule="exact"/>
        <w:ind w:firstLine="320" w:firstLineChars="100"/>
        <w:textAlignment w:val="auto"/>
        <w:rPr>
          <w:rFonts w:hint="eastAsia" w:ascii="方正仿宋简体" w:hAnsi="方正仿宋简体" w:eastAsia="方正仿宋简体" w:cs="方正仿宋简体"/>
          <w:sz w:val="32"/>
          <w:szCs w:val="32"/>
        </w:rPr>
      </w:pPr>
    </w:p>
    <w:p w14:paraId="669F5221">
      <w:pPr>
        <w:keepNext w:val="0"/>
        <w:keepLines w:val="0"/>
        <w:pageBreakBefore w:val="0"/>
        <w:widowControl w:val="0"/>
        <w:kinsoku/>
        <w:wordWrap/>
        <w:overflowPunct/>
        <w:topLinePunct w:val="0"/>
        <w:autoSpaceDN/>
        <w:bidi w:val="0"/>
        <w:adjustRightInd/>
        <w:snapToGrid/>
        <w:spacing w:line="600" w:lineRule="exact"/>
        <w:ind w:firstLine="640" w:firstLineChars="200"/>
        <w:textAlignment w:val="auto"/>
        <w:rPr>
          <w:rFonts w:hint="eastAsia" w:ascii="方正仿宋简体" w:hAnsi="方正仿宋简体" w:eastAsia="方正仿宋简体" w:cs="方正仿宋简体"/>
          <w:sz w:val="32"/>
          <w:szCs w:val="32"/>
        </w:rPr>
      </w:pPr>
    </w:p>
    <w:p w14:paraId="08D86328">
      <w:pPr>
        <w:keepNext w:val="0"/>
        <w:keepLines w:val="0"/>
        <w:pageBreakBefore w:val="0"/>
        <w:widowControl w:val="0"/>
        <w:kinsoku/>
        <w:wordWrap/>
        <w:overflowPunct/>
        <w:topLinePunct w:val="0"/>
        <w:autoSpaceDN/>
        <w:bidi w:val="0"/>
        <w:adjustRightInd/>
        <w:snapToGrid/>
        <w:spacing w:line="600" w:lineRule="exact"/>
        <w:jc w:val="left"/>
        <w:textAlignment w:val="auto"/>
        <w:rPr>
          <w:rFonts w:hint="eastAsia" w:ascii="方正仿宋简体" w:hAnsi="方正仿宋简体" w:eastAsia="方正仿宋简体" w:cs="方正仿宋简体"/>
          <w:sz w:val="32"/>
          <w:szCs w:val="32"/>
        </w:rPr>
      </w:pPr>
    </w:p>
    <w:p w14:paraId="0A85BB88"/>
    <w:sectPr>
      <w:footerReference r:id="rId4" w:type="default"/>
      <w:pgSz w:w="11906" w:h="16838"/>
      <w:pgMar w:top="1440" w:right="1486"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1FE19">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153F06">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54153F06">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D4A3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5D328A4">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15D328A4">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B9FE37"/>
    <w:multiLevelType w:val="singleLevel"/>
    <w:tmpl w:val="91B9FE3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C83C67"/>
    <w:rsid w:val="09DF19AC"/>
    <w:rsid w:val="0C3C152B"/>
    <w:rsid w:val="0EFD36E4"/>
    <w:rsid w:val="16E51059"/>
    <w:rsid w:val="199D4914"/>
    <w:rsid w:val="1A10571F"/>
    <w:rsid w:val="1A171673"/>
    <w:rsid w:val="1DC83C67"/>
    <w:rsid w:val="1F106FB8"/>
    <w:rsid w:val="2927005E"/>
    <w:rsid w:val="43D347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character" w:styleId="5">
    <w:name w:val="Strong"/>
    <w:basedOn w:val="4"/>
    <w:qFormat/>
    <w:uiPriority w:val="22"/>
    <w:rPr>
      <w:b/>
      <w:bCs/>
    </w:rPr>
  </w:style>
  <w:style w:type="paragraph" w:customStyle="1" w:styleId="6">
    <w:name w:val="UserStyle_0"/>
    <w:basedOn w:val="1"/>
    <w:next w:val="1"/>
    <w:qFormat/>
    <w:uiPriority w:val="0"/>
    <w:pPr>
      <w:ind w:left="280"/>
      <w:jc w:val="left"/>
      <w:textAlignment w:val="baseline"/>
    </w:pPr>
    <w:rPr>
      <w:smallCaps/>
      <w:kern w:val="2"/>
      <w:sz w:val="20"/>
      <w:szCs w:val="20"/>
      <w:lang w:val="en-US" w:eastAsia="zh-CN" w:bidi="ar-SA"/>
    </w:rPr>
  </w:style>
  <w:style w:type="paragraph" w:customStyle="1" w:styleId="7">
    <w:name w:val="Normal"/>
    <w:qFormat/>
    <w:uiPriority w:val="0"/>
    <w:pPr>
      <w:jc w:val="both"/>
    </w:pPr>
    <w:rPr>
      <w:rFonts w:ascii="仿宋" w:hAnsi="仿宋" w:eastAsia="宋体" w:cs="宋体"/>
      <w:kern w:val="2"/>
      <w:sz w:val="21"/>
      <w:szCs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2808</Words>
  <Characters>2847</Characters>
  <Lines>0</Lines>
  <Paragraphs>0</Paragraphs>
  <TotalTime>6</TotalTime>
  <ScaleCrop>false</ScaleCrop>
  <LinksUpToDate>false</LinksUpToDate>
  <CharactersWithSpaces>2919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2025-11-24T06:35:00Z</dcterms:created>
  <dc:creator>Miss 刘</dc:creator>
  <cp:lastModifiedBy>Miss 刘</cp:lastModifiedBy>
  <cp:lastPrinted>2025-11-25T06:58:00Z</cp:lastPrinted>
  <dcterms:modified xsi:type="dcterms:W3CDTF">2026-01-07T07:47:27Z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A7C5934D58F74288BBA605A8A92DB510_11</vt:lpwstr>
  </property>
  <property fmtid="{D5CDD505-2E9C-101B-9397-08002B2CF9AE}" pid="4" name="KSOTemplateDocerSaveRecord">
    <vt:lpwstr>eyJoZGlkIjoiOTdiOGUzMzkwODQ2OWJlMTViNzNjZWJkZjllMmI3ZjQiLCJ1c2VySWQiOiI4ODc1MDg1MDQifQ==</vt:lpwstr>
  </property>
</Properties>
</file>