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BB054C">
      <w:pPr>
        <w:pStyle w:val="2"/>
        <w:keepNext w:val="0"/>
        <w:keepLines w:val="0"/>
        <w:widowControl/>
        <w:suppressLineNumbers w:val="0"/>
        <w:jc w:val="center"/>
      </w:pPr>
      <w:r>
        <w:rPr>
          <w:b/>
          <w:bCs/>
          <w:color w:val="AB1942"/>
          <w:sz w:val="27"/>
          <w:szCs w:val="27"/>
        </w:rPr>
        <w:t>中小企业靠啥驶入“快车道”</w:t>
      </w:r>
    </w:p>
    <w:p w14:paraId="1A592DC0">
      <w:pPr>
        <w:pStyle w:val="2"/>
        <w:keepNext w:val="0"/>
        <w:keepLines w:val="0"/>
        <w:widowControl/>
        <w:suppressLineNumbers w:val="0"/>
        <w:spacing w:line="420" w:lineRule="atLeast"/>
        <w:ind w:left="0" w:firstLine="420"/>
        <w:jc w:val="both"/>
      </w:pPr>
      <w:r>
        <w:rPr>
          <w:rFonts w:ascii="Microsoft YaHei UI" w:hAnsi="Microsoft YaHei UI" w:eastAsia="Microsoft YaHei UI" w:cs="Microsoft YaHei UI"/>
          <w:b w:val="0"/>
          <w:bCs w:val="0"/>
          <w:i w:val="0"/>
          <w:iCs w:val="0"/>
          <w:spacing w:val="7"/>
          <w:sz w:val="24"/>
          <w:szCs w:val="24"/>
        </w:rPr>
        <w:t>近期，各地陆续披露了“十四五”时期经济社会发展情况，中小企业成为其中亮点。工业和信息化部相关数据显示，全国中小企业数量已超6000万家，2021年以来平均年新增超400万家。“十四五”期间，</w:t>
      </w:r>
      <w:r>
        <w:rPr>
          <w:rFonts w:hint="eastAsia" w:ascii="Microsoft YaHei UI" w:hAnsi="Microsoft YaHei UI" w:eastAsia="Microsoft YaHei UI" w:cs="Microsoft YaHei UI"/>
          <w:b/>
          <w:bCs/>
          <w:i w:val="0"/>
          <w:iCs w:val="0"/>
          <w:spacing w:val="7"/>
          <w:sz w:val="24"/>
          <w:szCs w:val="24"/>
        </w:rPr>
        <w:t>我国专精特新中小企业从不足4万家增至14万家以上，其中“小巨人”企业从5000余家跃升至1.76万家。</w:t>
      </w:r>
      <w:r>
        <w:rPr>
          <w:rFonts w:hint="eastAsia" w:ascii="Microsoft YaHei UI" w:hAnsi="Microsoft YaHei UI" w:eastAsia="Microsoft YaHei UI" w:cs="Microsoft YaHei UI"/>
          <w:b w:val="0"/>
          <w:bCs w:val="0"/>
          <w:i w:val="0"/>
          <w:iCs w:val="0"/>
          <w:spacing w:val="7"/>
          <w:sz w:val="24"/>
          <w:szCs w:val="24"/>
        </w:rPr>
        <w:t>中小企业发展驶入了“快车道”。这一积极变化背后有哪些原因？记者进行了采访。</w:t>
      </w:r>
    </w:p>
    <w:p w14:paraId="5084FD9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both"/>
      </w:pPr>
      <w:r>
        <w:rPr>
          <w:rStyle w:val="5"/>
          <w:sz w:val="24"/>
          <w:szCs w:val="24"/>
          <w:bdr w:val="none" w:color="auto" w:sz="0" w:space="0"/>
        </w:rPr>
        <w:t>集群化发展“攥指成拳”</w:t>
      </w:r>
    </w:p>
    <w:p w14:paraId="02065216">
      <w:pPr>
        <w:pStyle w:val="2"/>
        <w:keepNext w:val="0"/>
        <w:keepLines w:val="0"/>
        <w:widowControl/>
        <w:suppressLineNumbers w:val="0"/>
        <w:spacing w:after="360" w:afterAutospacing="0" w:line="420" w:lineRule="atLeast"/>
        <w:ind w:left="0" w:firstLine="420"/>
        <w:jc w:val="both"/>
      </w:pPr>
      <w:r>
        <w:rPr>
          <w:rFonts w:hint="eastAsia" w:ascii="Microsoft YaHei UI" w:hAnsi="Microsoft YaHei UI" w:eastAsia="Microsoft YaHei UI" w:cs="Microsoft YaHei UI"/>
          <w:b w:val="0"/>
          <w:bCs w:val="0"/>
          <w:i w:val="0"/>
          <w:iCs w:val="0"/>
          <w:spacing w:val="7"/>
          <w:sz w:val="24"/>
          <w:szCs w:val="24"/>
        </w:rPr>
        <w:t>激烈的市场竞争中，中小企业“单打独斗”并不占优。在中国，许多产业链上下游的中小企业彼此借力、攥指成拳，实现了特色化集群化发展。</w:t>
      </w:r>
    </w:p>
    <w:p w14:paraId="0D9D2EB9">
      <w:pPr>
        <w:pStyle w:val="2"/>
        <w:keepNext w:val="0"/>
        <w:keepLines w:val="0"/>
        <w:widowControl/>
        <w:suppressLineNumbers w:val="0"/>
        <w:spacing w:after="360" w:afterAutospacing="0" w:line="420" w:lineRule="atLeast"/>
        <w:jc w:val="both"/>
      </w:pPr>
      <w:r>
        <w:rPr>
          <w:rFonts w:hint="eastAsia" w:ascii="Microsoft YaHei UI" w:hAnsi="Microsoft YaHei UI" w:eastAsia="Microsoft YaHei UI" w:cs="Microsoft YaHei UI"/>
          <w:b w:val="0"/>
          <w:bCs w:val="0"/>
          <w:i w:val="0"/>
          <w:iCs w:val="0"/>
          <w:spacing w:val="7"/>
          <w:sz w:val="24"/>
          <w:szCs w:val="24"/>
        </w:rPr>
        <w:t>　　中国是全球最大的家具、卫浴等产品生产国、出口国。这类产业连接着庞大的消费市场，但相对分散、琐碎。近年来，集群化发展成为行业内中小企业的重要选择。</w:t>
      </w:r>
    </w:p>
    <w:p w14:paraId="74AB756A">
      <w:pPr>
        <w:pStyle w:val="2"/>
        <w:keepNext w:val="0"/>
        <w:keepLines w:val="0"/>
        <w:widowControl/>
        <w:suppressLineNumbers w:val="0"/>
        <w:spacing w:after="360" w:afterAutospacing="0" w:line="420" w:lineRule="atLeast"/>
        <w:jc w:val="both"/>
      </w:pPr>
      <w:r>
        <w:rPr>
          <w:rFonts w:hint="eastAsia" w:ascii="Microsoft YaHei UI" w:hAnsi="Microsoft YaHei UI" w:eastAsia="Microsoft YaHei UI" w:cs="Microsoft YaHei UI"/>
          <w:b w:val="0"/>
          <w:bCs w:val="0"/>
          <w:i w:val="0"/>
          <w:iCs w:val="0"/>
          <w:spacing w:val="7"/>
          <w:sz w:val="24"/>
          <w:szCs w:val="24"/>
        </w:rPr>
        <w:t>　　在山东，胶州市智慧家居制造产业集群通过建立“入口圈、产业圈、工具海”的运营模式，形成了集研发、设计、生产、施工、维护保养等智慧家居全产业生态链。“在消费端，我们平台的产品服务覆盖全屋定制、系统门窗、家具定制、装配式卫浴等领域，为用户定制家居解决方案，助推家电家居一体化智慧空间打造。”少海汇渠道中心海外市场负责人杜春龙说，少海汇不只是一家企业，而是连接了众多上下游中小企业的平台。不少成员企业加深联结，形成紧密的合作关系。以联合采购为例，同样的物料如果进行“组团采购”，成本降幅有时会达到将近10个百分点。对那些工厂规模小、产销量不大的中小企业来说，通过少海汇参与产业资源共享、融通拿单，可以更快发展，抢抓新需求。产业集群发展得好，每家企业也会更积极推动技术升级。</w:t>
      </w:r>
    </w:p>
    <w:p w14:paraId="0814DFBA">
      <w:pPr>
        <w:pStyle w:val="2"/>
        <w:keepNext w:val="0"/>
        <w:keepLines w:val="0"/>
        <w:widowControl/>
        <w:suppressLineNumbers w:val="0"/>
        <w:spacing w:after="360" w:afterAutospacing="0" w:line="420" w:lineRule="atLeast"/>
        <w:jc w:val="both"/>
      </w:pPr>
      <w:r>
        <w:rPr>
          <w:rFonts w:hint="eastAsia" w:ascii="Microsoft YaHei UI" w:hAnsi="Microsoft YaHei UI" w:eastAsia="Microsoft YaHei UI" w:cs="Microsoft YaHei UI"/>
          <w:b/>
          <w:bCs/>
          <w:i w:val="0"/>
          <w:iCs w:val="0"/>
          <w:spacing w:val="7"/>
          <w:sz w:val="24"/>
          <w:szCs w:val="24"/>
        </w:rPr>
        <w:t>　截至2025年10月，全国共培育国家级中小企业特色产业集群397个</w:t>
      </w:r>
      <w:r>
        <w:rPr>
          <w:rFonts w:hint="eastAsia" w:ascii="Microsoft YaHei UI" w:hAnsi="Microsoft YaHei UI" w:eastAsia="Microsoft YaHei UI" w:cs="Microsoft YaHei UI"/>
          <w:b w:val="0"/>
          <w:bCs w:val="0"/>
          <w:i w:val="0"/>
          <w:iCs w:val="0"/>
          <w:spacing w:val="7"/>
          <w:sz w:val="24"/>
          <w:szCs w:val="24"/>
        </w:rPr>
        <w:t>，其中既有如四川省崇州市板式家具产业集群、福建省安溪县藤铁工艺产业集团等集聚大量中小企业的传统优势产业集群，也有像江苏省如东县海上风电装备产业集群、北京市昌平区合成生物制造产业集群这类由科创人员、海归等创办的新兴产业中小企业集群。国家级中小企业特色产业集群进一步带动各省（区、市）培育省级集群1400余个，形成层次分明、覆盖广泛、特色鲜明的集群发展格局——</w:t>
      </w:r>
    </w:p>
    <w:p w14:paraId="5592D247">
      <w:pPr>
        <w:pStyle w:val="2"/>
        <w:keepNext w:val="0"/>
        <w:keepLines w:val="0"/>
        <w:widowControl/>
        <w:suppressLineNumbers w:val="0"/>
        <w:spacing w:after="360" w:afterAutospacing="0" w:line="420" w:lineRule="atLeast"/>
        <w:jc w:val="both"/>
      </w:pPr>
      <w:r>
        <w:rPr>
          <w:rFonts w:hint="eastAsia" w:ascii="Microsoft YaHei UI" w:hAnsi="Microsoft YaHei UI" w:eastAsia="Microsoft YaHei UI" w:cs="Microsoft YaHei UI"/>
          <w:b w:val="0"/>
          <w:bCs w:val="0"/>
          <w:i w:val="0"/>
          <w:iCs w:val="0"/>
          <w:spacing w:val="7"/>
          <w:sz w:val="24"/>
          <w:szCs w:val="24"/>
        </w:rPr>
        <w:t>　　一方面，集群通过内部精细化分工与协同，在区域内形成了高度自洽的微型产业链闭环。许多集群实现了关键环节“多点备份”、上下游“无缝衔接”，显著提升了整体竞争力。</w:t>
      </w:r>
    </w:p>
    <w:p w14:paraId="409ACBC6">
      <w:pPr>
        <w:pStyle w:val="2"/>
        <w:keepNext w:val="0"/>
        <w:keepLines w:val="0"/>
        <w:widowControl/>
        <w:suppressLineNumbers w:val="0"/>
        <w:spacing w:after="360" w:afterAutospacing="0" w:line="420" w:lineRule="atLeast"/>
        <w:jc w:val="both"/>
      </w:pPr>
      <w:r>
        <w:rPr>
          <w:rFonts w:hint="eastAsia" w:ascii="Microsoft YaHei UI" w:hAnsi="Microsoft YaHei UI" w:eastAsia="Microsoft YaHei UI" w:cs="Microsoft YaHei UI"/>
          <w:b w:val="0"/>
          <w:bCs w:val="0"/>
          <w:i w:val="0"/>
          <w:iCs w:val="0"/>
          <w:spacing w:val="7"/>
          <w:sz w:val="24"/>
          <w:szCs w:val="24"/>
        </w:rPr>
        <w:t>　　另一方面，依托共享的实验平台、中试基地和行业数据，大量中小企业不再局限于生产制造，而是向研发设计、品牌营销、售后服务等高附加值环节拓展，涌现出一批掌握行业话语权的“隐形冠军”和“配套专家”。</w:t>
      </w:r>
    </w:p>
    <w:p w14:paraId="39DF009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both"/>
      </w:pPr>
      <w:r>
        <w:rPr>
          <w:rStyle w:val="5"/>
          <w:sz w:val="24"/>
          <w:szCs w:val="24"/>
          <w:bdr w:val="none" w:color="auto" w:sz="0" w:space="0"/>
        </w:rPr>
        <w:t>数字化转型“小快轻准”</w:t>
      </w:r>
    </w:p>
    <w:p w14:paraId="238C23AC">
      <w:pPr>
        <w:pStyle w:val="2"/>
        <w:keepNext w:val="0"/>
        <w:keepLines w:val="0"/>
        <w:widowControl/>
        <w:suppressLineNumbers w:val="0"/>
        <w:spacing w:after="360" w:afterAutospacing="0" w:line="420" w:lineRule="atLeast"/>
        <w:jc w:val="both"/>
      </w:pPr>
      <w:r>
        <w:rPr>
          <w:rFonts w:hint="eastAsia" w:ascii="Microsoft YaHei UI" w:hAnsi="Microsoft YaHei UI" w:eastAsia="Microsoft YaHei UI" w:cs="Microsoft YaHei UI"/>
          <w:b w:val="0"/>
          <w:bCs w:val="0"/>
          <w:i w:val="0"/>
          <w:iCs w:val="0"/>
          <w:spacing w:val="7"/>
          <w:sz w:val="24"/>
          <w:szCs w:val="24"/>
        </w:rPr>
        <w:t>　　数字化转型是今天中国中小企业高质量发展的重要动力。</w:t>
      </w:r>
    </w:p>
    <w:p w14:paraId="484FF984">
      <w:pPr>
        <w:pStyle w:val="2"/>
        <w:keepNext w:val="0"/>
        <w:keepLines w:val="0"/>
        <w:widowControl/>
        <w:suppressLineNumbers w:val="0"/>
        <w:spacing w:after="360" w:afterAutospacing="0" w:line="420" w:lineRule="atLeast"/>
        <w:jc w:val="both"/>
      </w:pPr>
      <w:r>
        <w:rPr>
          <w:rFonts w:hint="eastAsia" w:ascii="Microsoft YaHei UI" w:hAnsi="Microsoft YaHei UI" w:eastAsia="Microsoft YaHei UI" w:cs="Microsoft YaHei UI"/>
          <w:b w:val="0"/>
          <w:bCs w:val="0"/>
          <w:i w:val="0"/>
          <w:iCs w:val="0"/>
          <w:spacing w:val="7"/>
          <w:sz w:val="24"/>
          <w:szCs w:val="24"/>
        </w:rPr>
        <w:t>　　浙江宜格美妆集团旗下的花西子生物科技有限公司是杭州市第一批通过验收的试点企业，产品涵盖彩妆、护肤、香氛三大品类。数字化转型后，公司市场订单准时交货率提升至96%，一次下线合格率提高5个百分点，单位产品加工生产成本减少10%，生产计划达成率高达98%。</w:t>
      </w:r>
    </w:p>
    <w:p w14:paraId="159CFB76">
      <w:pPr>
        <w:pStyle w:val="2"/>
        <w:keepNext w:val="0"/>
        <w:keepLines w:val="0"/>
        <w:widowControl/>
        <w:suppressLineNumbers w:val="0"/>
        <w:spacing w:after="360" w:afterAutospacing="0" w:line="420" w:lineRule="atLeast"/>
        <w:jc w:val="both"/>
      </w:pPr>
      <w:r>
        <w:rPr>
          <w:rFonts w:hint="eastAsia" w:ascii="Microsoft YaHei UI" w:hAnsi="Microsoft YaHei UI" w:eastAsia="Microsoft YaHei UI" w:cs="Microsoft YaHei UI"/>
          <w:b w:val="0"/>
          <w:bCs w:val="0"/>
          <w:i w:val="0"/>
          <w:iCs w:val="0"/>
          <w:spacing w:val="7"/>
          <w:sz w:val="24"/>
          <w:szCs w:val="24"/>
        </w:rPr>
        <w:t>　　花西子品牌数字智能部高级总监黎光说，在“十四五”时期，花西子智能工厂全面打造生产线数字化。在数字化基础设施升级方面，已完成全车间覆盖的工业以太网与Wi-Fi移动专网部署，并在关键设备及工位全面配置传感器、数据网关等智能终端，实现对生产过程中温度、压力等参数的实时采集与监控。</w:t>
      </w:r>
    </w:p>
    <w:p w14:paraId="479622D5">
      <w:pPr>
        <w:pStyle w:val="2"/>
        <w:keepNext w:val="0"/>
        <w:keepLines w:val="0"/>
        <w:widowControl/>
        <w:suppressLineNumbers w:val="0"/>
        <w:spacing w:after="360" w:afterAutospacing="0" w:line="420" w:lineRule="atLeast"/>
        <w:jc w:val="both"/>
      </w:pPr>
      <w:r>
        <w:rPr>
          <w:rFonts w:hint="eastAsia" w:ascii="Microsoft YaHei UI" w:hAnsi="Microsoft YaHei UI" w:eastAsia="Microsoft YaHei UI" w:cs="Microsoft YaHei UI"/>
          <w:b w:val="0"/>
          <w:bCs w:val="0"/>
          <w:i w:val="0"/>
          <w:iCs w:val="0"/>
          <w:spacing w:val="7"/>
          <w:sz w:val="24"/>
          <w:szCs w:val="24"/>
        </w:rPr>
        <w:t>　　“我们主要依托于全流程数字化管理与AI技术、自动化设备的协同应用，打造智能车间。其中，生产运营系统可以智能实现生产全生命周期的数字化管理，包括原物料数字化管理、防差错称量、数字化生产、数字化追溯等，最终通过一台平板就能实现‘一键下单’高效生产。未来，更进一步的数字化转型将从工具应用迈向更深层次的生态重构。”黎光说。</w:t>
      </w:r>
    </w:p>
    <w:p w14:paraId="1FE7ABD9">
      <w:pPr>
        <w:pStyle w:val="2"/>
        <w:keepNext w:val="0"/>
        <w:keepLines w:val="0"/>
        <w:widowControl/>
        <w:suppressLineNumbers w:val="0"/>
        <w:spacing w:after="360" w:afterAutospacing="0" w:line="420" w:lineRule="atLeast"/>
        <w:jc w:val="both"/>
      </w:pPr>
      <w:r>
        <w:rPr>
          <w:rFonts w:hint="eastAsia" w:ascii="Microsoft YaHei UI" w:hAnsi="Microsoft YaHei UI" w:eastAsia="Microsoft YaHei UI" w:cs="Microsoft YaHei UI"/>
          <w:b w:val="0"/>
          <w:bCs w:val="0"/>
          <w:i w:val="0"/>
          <w:iCs w:val="0"/>
          <w:spacing w:val="7"/>
          <w:sz w:val="24"/>
          <w:szCs w:val="24"/>
        </w:rPr>
        <w:t>　　这是中小企业数字化转型的一个缩影。</w:t>
      </w:r>
    </w:p>
    <w:p w14:paraId="5B10F53D">
      <w:pPr>
        <w:pStyle w:val="2"/>
        <w:keepNext w:val="0"/>
        <w:keepLines w:val="0"/>
        <w:widowControl/>
        <w:suppressLineNumbers w:val="0"/>
        <w:spacing w:after="360" w:afterAutospacing="0" w:line="420" w:lineRule="atLeast"/>
        <w:jc w:val="both"/>
      </w:pPr>
      <w:r>
        <w:rPr>
          <w:rFonts w:hint="eastAsia" w:ascii="Microsoft YaHei UI" w:hAnsi="Microsoft YaHei UI" w:eastAsia="Microsoft YaHei UI" w:cs="Microsoft YaHei UI"/>
          <w:b w:val="0"/>
          <w:bCs w:val="0"/>
          <w:i w:val="0"/>
          <w:iCs w:val="0"/>
          <w:spacing w:val="7"/>
          <w:sz w:val="24"/>
          <w:szCs w:val="24"/>
        </w:rPr>
        <w:t>　　在湖北，武汉市支持烽火通信、长飞光纤、九州通医药等链主企业，建设数字化供应链体系和行业赋能平台，向链上中小企业开放共享技术、标准、数据、订单，带动全链协同转型。在江苏，工信部门积极引导中小企业采取加装传感器、通信模块或更新数字化生产设备，实现关键工序设备数据可感知、可采集。在广东，广州市聚焦中小企业在设计、制造、销售、服务、管理、安全等各环节数字化转型需求，征集一批“小快轻准”（小型化、快速化、轻量化、精准化）自主可控的数字化产品和服务，推动产业链上下游中小企业转型。</w:t>
      </w:r>
    </w:p>
    <w:p w14:paraId="4C776A89">
      <w:pPr>
        <w:pStyle w:val="2"/>
        <w:keepNext w:val="0"/>
        <w:keepLines w:val="0"/>
        <w:widowControl/>
        <w:suppressLineNumbers w:val="0"/>
        <w:spacing w:after="360" w:afterAutospacing="0" w:line="420" w:lineRule="atLeast"/>
        <w:jc w:val="both"/>
      </w:pPr>
      <w:r>
        <w:rPr>
          <w:rFonts w:hint="eastAsia" w:ascii="Microsoft YaHei UI" w:hAnsi="Microsoft YaHei UI" w:eastAsia="Microsoft YaHei UI" w:cs="Microsoft YaHei UI"/>
          <w:b w:val="0"/>
          <w:bCs w:val="0"/>
          <w:i w:val="0"/>
          <w:iCs w:val="0"/>
          <w:spacing w:val="7"/>
          <w:sz w:val="24"/>
          <w:szCs w:val="24"/>
        </w:rPr>
        <w:t>　　记者从工信部了解到，“十四五”时期，各地多措并举探索形成一批支持中小企业数字化改造的长效机制，推出“小快轻准”数字化技术产品1万余项，培育面向细分行业的专业型数字化服务商1000余家，培育“数字工匠”“数字专员”近3万名。同时，深化工业互联网融合应用，依托工业互联网平台面向中小企业推广行业共性数字化产品及系统解决方案，已探索形成百余个工业互联网平台赋能中小企业应用示范。</w:t>
      </w:r>
    </w:p>
    <w:p w14:paraId="714DE31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both"/>
      </w:pPr>
      <w:r>
        <w:rPr>
          <w:rStyle w:val="5"/>
          <w:sz w:val="24"/>
          <w:szCs w:val="24"/>
          <w:bdr w:val="none" w:color="auto" w:sz="0" w:space="0"/>
        </w:rPr>
        <w:t>精准服务质效提升</w:t>
      </w:r>
    </w:p>
    <w:p w14:paraId="173E293C">
      <w:pPr>
        <w:pStyle w:val="2"/>
        <w:keepNext w:val="0"/>
        <w:keepLines w:val="0"/>
        <w:widowControl/>
        <w:suppressLineNumbers w:val="0"/>
        <w:spacing w:after="360" w:afterAutospacing="0" w:line="420" w:lineRule="atLeast"/>
        <w:jc w:val="both"/>
      </w:pPr>
      <w:r>
        <w:rPr>
          <w:rFonts w:hint="eastAsia" w:ascii="Microsoft YaHei UI" w:hAnsi="Microsoft YaHei UI" w:eastAsia="Microsoft YaHei UI" w:cs="Microsoft YaHei UI"/>
          <w:b w:val="0"/>
          <w:bCs w:val="0"/>
          <w:i w:val="0"/>
          <w:iCs w:val="0"/>
          <w:spacing w:val="7"/>
          <w:sz w:val="24"/>
          <w:szCs w:val="24"/>
        </w:rPr>
        <w:t>　　从“全国中小企业服务月”活动，到中小企业“高校深度行”活动，再到大力推进“一链一策一批”中小微企业融资促进行动……“十四五”时期，一批有温度有力度的惠企政策，为中小企业拔节生长创造了良好环境。</w:t>
      </w:r>
    </w:p>
    <w:p w14:paraId="1EA28E7C">
      <w:pPr>
        <w:pStyle w:val="2"/>
        <w:keepNext w:val="0"/>
        <w:keepLines w:val="0"/>
        <w:widowControl/>
        <w:suppressLineNumbers w:val="0"/>
        <w:spacing w:after="360" w:afterAutospacing="0" w:line="420" w:lineRule="atLeast"/>
        <w:jc w:val="both"/>
      </w:pPr>
      <w:r>
        <w:rPr>
          <w:rFonts w:hint="eastAsia" w:ascii="Microsoft YaHei UI" w:hAnsi="Microsoft YaHei UI" w:eastAsia="Microsoft YaHei UI" w:cs="Microsoft YaHei UI"/>
          <w:b w:val="0"/>
          <w:bCs w:val="0"/>
          <w:i w:val="0"/>
          <w:iCs w:val="0"/>
          <w:spacing w:val="7"/>
          <w:sz w:val="24"/>
          <w:szCs w:val="24"/>
        </w:rPr>
        <w:t>　　有的得益于政府搭建的公共服务平台。思必驰科技股份有限公司积极融入“苏州民营企业家之家”平台，与多家跨行业企业就技术融合与场景协同展开深度合作。该公司副总裁李春梅说，通过政府打造的服务平台，企业可以更好地对接算力、人才和应用场景等资源。</w:t>
      </w:r>
    </w:p>
    <w:p w14:paraId="07455198">
      <w:pPr>
        <w:pStyle w:val="2"/>
        <w:keepNext w:val="0"/>
        <w:keepLines w:val="0"/>
        <w:widowControl/>
        <w:suppressLineNumbers w:val="0"/>
        <w:spacing w:after="360" w:afterAutospacing="0" w:line="420" w:lineRule="atLeast"/>
        <w:jc w:val="both"/>
      </w:pPr>
      <w:r>
        <w:rPr>
          <w:rFonts w:hint="eastAsia" w:ascii="Microsoft YaHei UI" w:hAnsi="Microsoft YaHei UI" w:eastAsia="Microsoft YaHei UI" w:cs="Microsoft YaHei UI"/>
          <w:b w:val="0"/>
          <w:bCs w:val="0"/>
          <w:i w:val="0"/>
          <w:iCs w:val="0"/>
          <w:spacing w:val="7"/>
          <w:sz w:val="24"/>
          <w:szCs w:val="24"/>
        </w:rPr>
        <w:t>　　有的受惠于金融支持实体经济的政策利好。不久前，在2025年“星商通”民营企业金融服务精准对接会（第二场）上，湖南幸福帘帘科技有限责任公司成功对接长沙银行，达成初步贷款合作意向。“有了这笔贷款，我对公司的发展更有信心！预计农历春节前可以在长沙完成20家店加盟，明年将扩张到200个加盟店。”该公司董事长李群说。</w:t>
      </w:r>
    </w:p>
    <w:p w14:paraId="0F68C3B7">
      <w:pPr>
        <w:pStyle w:val="2"/>
        <w:keepNext w:val="0"/>
        <w:keepLines w:val="0"/>
        <w:widowControl/>
        <w:suppressLineNumbers w:val="0"/>
        <w:spacing w:after="360" w:afterAutospacing="0" w:line="420" w:lineRule="atLeast"/>
        <w:jc w:val="both"/>
      </w:pPr>
      <w:r>
        <w:rPr>
          <w:rFonts w:hint="eastAsia" w:ascii="Microsoft YaHei UI" w:hAnsi="Microsoft YaHei UI" w:eastAsia="Microsoft YaHei UI" w:cs="Microsoft YaHei UI"/>
          <w:b w:val="0"/>
          <w:bCs w:val="0"/>
          <w:i w:val="0"/>
          <w:iCs w:val="0"/>
          <w:spacing w:val="7"/>
          <w:sz w:val="24"/>
          <w:szCs w:val="24"/>
        </w:rPr>
        <w:t>　　中小企业在政策预期明确、营商环境优化的背景下，更加坚定了深耕主业的信心。汉威科技集团股份有限公司董事长任红军说，自己深切地感受到河南对民营企业和制造业、科技创新的重视和关心。企业将发挥优势，坚守主业、做强实业，加强自主创新，不断提高核心竞争力，努力在新质生产力领域取得更多成果。</w:t>
      </w:r>
    </w:p>
    <w:p w14:paraId="18FB0F84">
      <w:pPr>
        <w:pStyle w:val="2"/>
        <w:keepNext w:val="0"/>
        <w:keepLines w:val="0"/>
        <w:widowControl/>
        <w:suppressLineNumbers w:val="0"/>
        <w:spacing w:after="360" w:afterAutospacing="0" w:line="420" w:lineRule="atLeast"/>
        <w:jc w:val="both"/>
      </w:pPr>
      <w:r>
        <w:rPr>
          <w:rFonts w:hint="eastAsia" w:ascii="Microsoft YaHei UI" w:hAnsi="Microsoft YaHei UI" w:eastAsia="Microsoft YaHei UI" w:cs="Microsoft YaHei UI"/>
          <w:b w:val="0"/>
          <w:bCs w:val="0"/>
          <w:i w:val="0"/>
          <w:iCs w:val="0"/>
          <w:spacing w:val="7"/>
          <w:sz w:val="24"/>
          <w:szCs w:val="24"/>
        </w:rPr>
        <w:t>　　工业和信息化部赛迪研究院中小企业所所长龙飞说，“十四五”以来，中国支持中小企业发展的举措主要有三个方面：一是降低企业负担，减免企业所得税、增值税，减半征收“六税两费”，阶段性实施缓缴社会保险费、延期还本付息等；二是梯度培育优质企业，激发中小企业创新活力，开展中小企业数字化转型试点，支持超过4.5万家企业数字化改造；三是不断完善服务体系，建成覆盖国家、省、市、县四级的中小企业公共服务机构，中国中小企业服务网上线运行，打造“一起益企”等服务品牌。</w:t>
      </w:r>
    </w:p>
    <w:p w14:paraId="51F0E9CE">
      <w:pPr>
        <w:pStyle w:val="2"/>
        <w:keepNext w:val="0"/>
        <w:keepLines w:val="0"/>
        <w:widowControl/>
        <w:suppressLineNumbers w:val="0"/>
        <w:spacing w:after="360" w:afterAutospacing="0" w:line="420" w:lineRule="atLeast"/>
        <w:jc w:val="both"/>
      </w:pPr>
      <w:r>
        <w:rPr>
          <w:rFonts w:hint="eastAsia" w:ascii="Microsoft YaHei UI" w:hAnsi="Microsoft YaHei UI" w:eastAsia="Microsoft YaHei UI" w:cs="Microsoft YaHei UI"/>
          <w:b w:val="0"/>
          <w:bCs w:val="0"/>
          <w:i w:val="0"/>
          <w:iCs w:val="0"/>
          <w:spacing w:val="7"/>
          <w:sz w:val="24"/>
          <w:szCs w:val="24"/>
        </w:rPr>
        <w:t>　　“在一系列政策举措支持下，我国中小企业的发展数量、效益、质量都有显著提高。”龙飞说，中小企业数字化、集群化、特色化发展，有利于夯实制造业数字化基础，助力数字经济与实体经济深度融合，有利于降低企业协作成本，增强产业链抗风险能力，还有利于拓宽产品服务供给维度，增强区域经济韧性。“十五五”时期，要细化引导中小企业加大科技创新投入的配套措施，引领更多中小企业走“专精特新”发展道路。同时，深入实施中小企业出海服务专项行动，推进中外中小企业合作区建设，继续办好各类国际合作展览展会，助力中小企业持续提升国际竞争力。</w:t>
      </w:r>
    </w:p>
    <w:p w14:paraId="4B781468">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icrosoft YaHei UI">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71534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WPS_1743838943</cp:lastModifiedBy>
  <dcterms:modified xsi:type="dcterms:W3CDTF">2025-12-30T06:38:22Z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eyJoZGlkIjoiMWFjNmVhNmExNTk0OGYxN2JhZDI0NGVhMzMxNzRhYTEiLCJ1c2VySWQiOiIxNjkxOTA2NzM5In0=</vt:lpwstr>
  </property>
  <property fmtid="{D5CDD505-2E9C-101B-9397-08002B2CF9AE}" pid="4" name="ICV">
    <vt:lpwstr>26D83C1B9C8B4CD6B28D0930B4FB346B_12</vt:lpwstr>
  </property>
</Properties>
</file>