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snapToGrid/>
        <w:spacing w:line="600" w:lineRule="exact"/>
        <w:jc w:val="both"/>
        <w:textAlignment w:val="auto"/>
        <w:rPr>
          <w:rFonts w:hint="eastAsia" w:ascii="黑体" w:hAnsi="黑体" w:eastAsia="黑体" w:cs="黑体"/>
          <w:b w:val="0"/>
          <w:bCs w:val="0"/>
          <w:snapToGrid w:val="0"/>
          <w:color w:val="FF0000"/>
          <w:w w:val="100"/>
          <w:kern w:val="0"/>
          <w:sz w:val="52"/>
          <w:szCs w:val="52"/>
          <w:u w:val="thick"/>
          <w:lang w:val="en-US" w:eastAsia="zh-CN"/>
        </w:rPr>
      </w:pPr>
      <w:r>
        <w:rPr>
          <w:rFonts w:hint="eastAsia" w:ascii="黑体" w:hAnsi="黑体" w:eastAsia="黑体" w:cs="黑体"/>
          <w:b w:val="0"/>
          <w:bCs w:val="0"/>
          <w:snapToGrid w:val="0"/>
          <w:color w:val="FF0000"/>
          <w:w w:val="100"/>
          <w:kern w:val="0"/>
          <w:sz w:val="52"/>
          <w:szCs w:val="52"/>
          <w:u w:val="thick"/>
          <w:lang w:val="en-US" w:eastAsia="zh-CN"/>
        </w:rPr>
        <w:t xml:space="preserve"> 国家税务总局井陉县税务局公文信笺   </w:t>
      </w:r>
    </w:p>
    <w:p>
      <w:pPr>
        <w:widowControl w:val="0"/>
        <w:wordWrap/>
        <w:adjustRightInd/>
        <w:snapToGrid/>
        <w:spacing w:line="600" w:lineRule="exact"/>
        <w:jc w:val="right"/>
        <w:textAlignment w:val="auto"/>
        <w:rPr>
          <w:rFonts w:hint="eastAsia" w:ascii="仿宋_GB2312" w:hAnsi="仿宋_GB2312" w:eastAsia="仿宋_GB2312" w:cs="仿宋_GB2312"/>
          <w:b/>
          <w:bCs/>
          <w:sz w:val="21"/>
          <w:szCs w:val="21"/>
          <w:lang w:val="en-US" w:eastAsia="zh-CN"/>
        </w:rPr>
      </w:pPr>
      <w:r>
        <w:rPr>
          <w:rFonts w:hint="eastAsia" w:ascii="仿宋_GB2312" w:hAnsi="仿宋_GB2312" w:eastAsia="仿宋_GB2312" w:cs="仿宋_GB2312"/>
          <w:b w:val="0"/>
          <w:bCs w:val="0"/>
          <w:sz w:val="21"/>
          <w:szCs w:val="21"/>
          <w:lang w:eastAsia="zh-CN"/>
        </w:rPr>
        <w:t>梁国霞提案字〔</w:t>
      </w:r>
      <w:r>
        <w:rPr>
          <w:rFonts w:hint="eastAsia" w:ascii="仿宋_GB2312" w:hAnsi="仿宋_GB2312" w:eastAsia="仿宋_GB2312" w:cs="仿宋_GB2312"/>
          <w:b w:val="0"/>
          <w:bCs w:val="0"/>
          <w:sz w:val="21"/>
          <w:szCs w:val="21"/>
          <w:lang w:val="en-US" w:eastAsia="zh-CN"/>
        </w:rPr>
        <w:t>2025</w:t>
      </w:r>
      <w:r>
        <w:rPr>
          <w:rFonts w:hint="eastAsia" w:ascii="仿宋_GB2312" w:hAnsi="仿宋_GB2312" w:eastAsia="仿宋_GB2312" w:cs="仿宋_GB2312"/>
          <w:b w:val="0"/>
          <w:bCs w:val="0"/>
          <w:sz w:val="21"/>
          <w:szCs w:val="21"/>
          <w:lang w:eastAsia="zh-CN"/>
        </w:rPr>
        <w:t>〕第</w:t>
      </w:r>
      <w:r>
        <w:rPr>
          <w:rFonts w:hint="eastAsia" w:ascii="仿宋_GB2312" w:hAnsi="仿宋_GB2312" w:eastAsia="仿宋_GB2312" w:cs="仿宋_GB2312"/>
          <w:b w:val="0"/>
          <w:bCs w:val="0"/>
          <w:sz w:val="21"/>
          <w:szCs w:val="21"/>
          <w:lang w:val="en-US" w:eastAsia="zh-CN"/>
        </w:rPr>
        <w:t>49号</w:t>
      </w:r>
    </w:p>
    <w:p>
      <w:pPr>
        <w:widowControl w:val="0"/>
        <w:wordWrap/>
        <w:adjustRightInd/>
        <w:snapToGrid/>
        <w:spacing w:line="600" w:lineRule="exact"/>
        <w:jc w:val="center"/>
        <w:textAlignment w:val="auto"/>
        <w:rPr>
          <w:rFonts w:hint="eastAsia" w:ascii="宋体" w:hAnsi="宋体" w:eastAsia="宋体" w:cs="宋体"/>
          <w:b/>
          <w:bCs/>
          <w:sz w:val="44"/>
          <w:szCs w:val="44"/>
          <w:lang w:eastAsia="zh-CN"/>
        </w:rPr>
      </w:pPr>
    </w:p>
    <w:p>
      <w:pPr>
        <w:widowControl w:val="0"/>
        <w:wordWrap/>
        <w:adjustRightInd/>
        <w:snapToGrid/>
        <w:spacing w:line="60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关于政协井陉县十五届五次会议</w:t>
      </w:r>
    </w:p>
    <w:p>
      <w:pPr>
        <w:widowControl w:val="0"/>
        <w:wordWrap/>
        <w:adjustRightInd/>
        <w:snapToGrid/>
        <w:spacing w:line="60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eastAsia="zh-CN"/>
        </w:rPr>
        <w:t>第</w:t>
      </w:r>
      <w:r>
        <w:rPr>
          <w:rFonts w:hint="eastAsia" w:ascii="宋体" w:hAnsi="宋体" w:eastAsia="宋体" w:cs="宋体"/>
          <w:b/>
          <w:bCs/>
          <w:sz w:val="44"/>
          <w:szCs w:val="44"/>
          <w:lang w:val="en-US" w:eastAsia="zh-CN"/>
        </w:rPr>
        <w:t>49号提案的答复</w:t>
      </w:r>
    </w:p>
    <w:p>
      <w:pPr>
        <w:widowControl w:val="0"/>
        <w:wordWrap/>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p>
    <w:p>
      <w:pPr>
        <w:widowControl w:val="0"/>
        <w:wordWrap/>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梁国霞委员：</w:t>
      </w:r>
    </w:p>
    <w:p>
      <w:pPr>
        <w:widowControl w:val="0"/>
        <w:wordWrap/>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您提出的“关于从税收视角对</w:t>
      </w:r>
      <w:bookmarkStart w:id="0" w:name="_GoBack"/>
      <w:bookmarkEnd w:id="0"/>
      <w:r>
        <w:rPr>
          <w:rFonts w:hint="eastAsia" w:ascii="仿宋_GB2312" w:hAnsi="仿宋_GB2312" w:eastAsia="仿宋_GB2312" w:cs="仿宋_GB2312"/>
          <w:b w:val="0"/>
          <w:bCs w:val="0"/>
          <w:sz w:val="32"/>
          <w:szCs w:val="32"/>
          <w:lang w:val="en-US" w:eastAsia="zh-CN"/>
        </w:rPr>
        <w:t>我县新能源发电行业发展的建议”提案收悉，现答复如下：</w:t>
      </w:r>
    </w:p>
    <w:p>
      <w:pPr>
        <w:widowControl w:val="0"/>
        <w:numPr>
          <w:ilvl w:val="0"/>
          <w:numId w:val="1"/>
        </w:numPr>
        <w:wordWrap/>
        <w:adjustRightInd/>
        <w:snapToGrid/>
        <w:spacing w:line="60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关于耕地占用税征管协作的问题</w:t>
      </w:r>
    </w:p>
    <w:p>
      <w:pPr>
        <w:widowControl w:val="0"/>
        <w:numPr>
          <w:numId w:val="0"/>
        </w:numPr>
        <w:wordWrap/>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为加强全县耕地占用税部门协作和信息交换工作，我局已于2021年牵头，与县财政局、自然资源和规划局等相关八个部门签订了《关于做好耕地占用税部门协作和信息交换工作的通知》。对于批准占地的情况，《通知》规定县自然资源和规划主管部门应于收到上级自然资源和规划部门农用地占用批准文件10日内，向建设用地人出具《办理占用耕地手续通知书》并同时传递税务部门，纳税人需在接到《办理占用耕地手续通知书》起30日内缴纳耕地占用税。对于未批先占的情况，按照《通知》规定，一是自然资源和规划等主管部门应于每月终了后10日内向税务机关传递《未批先占农用地查出信息表》；二是税务部门在日常征管中，发现纳税人未经批准占用耕地的或纳税人已主动申报纳税但没有《办理占用耕地手续通知书》的，可以提请自然资源等相关部门复核。由于目前违规占地处罚权下放乡镇政府，我局各分局在实际工作中与乡镇政府保持密切联系，得到处罚信息后立即通知纳税人缴纳耕占税，确保税款及时、足额入库。</w:t>
      </w:r>
    </w:p>
    <w:p>
      <w:pPr>
        <w:widowControl w:val="0"/>
        <w:numPr>
          <w:numId w:val="0"/>
        </w:numPr>
        <w:wordWrap/>
        <w:adjustRightInd/>
        <w:snapToGrid/>
        <w:spacing w:line="60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二、关于城镇土地使用税计税依据的问题</w:t>
      </w:r>
    </w:p>
    <w:p>
      <w:pPr>
        <w:widowControl w:val="0"/>
        <w:numPr>
          <w:numId w:val="0"/>
        </w:numPr>
        <w:wordWrap/>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应税面积包含光伏板垂直投影覆盖的土地及支架基座接触地面的部分，税务机关依据施工完成后的实际倾角核算投影面积。升压站、变电站、厂区道路、办公及生活区等永久设施用地，按照全部面积计税，不适用投影面积规则。</w:t>
      </w:r>
    </w:p>
    <w:p>
      <w:pPr>
        <w:widowControl w:val="0"/>
        <w:numPr>
          <w:numId w:val="0"/>
        </w:numPr>
        <w:wordWrap/>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国家税务总局井陉县税务局</w:t>
      </w:r>
    </w:p>
    <w:p>
      <w:pPr>
        <w:widowControl w:val="0"/>
        <w:numPr>
          <w:numId w:val="0"/>
        </w:numPr>
        <w:wordWrap w:val="0"/>
        <w:adjustRightInd/>
        <w:snapToGrid/>
        <w:spacing w:line="600" w:lineRule="exact"/>
        <w:jc w:val="center"/>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2025年8月8日</w:t>
      </w: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县政府主管领导意见：</w:t>
      </w: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领导签发：</w:t>
      </w: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单位联系人：</w:t>
      </w: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单位联系人电话：</w:t>
      </w:r>
    </w:p>
    <w:p>
      <w:pPr>
        <w:widowControl w:val="0"/>
        <w:numPr>
          <w:numId w:val="0"/>
        </w:numPr>
        <w:wordWrap w:val="0"/>
        <w:adjustRightInd/>
        <w:snapToGrid/>
        <w:spacing w:line="600" w:lineRule="exact"/>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p>
    <w:p>
      <w:pPr>
        <w:widowControl w:val="0"/>
        <w:numPr>
          <w:numId w:val="0"/>
        </w:numPr>
        <w:wordWrap w:val="0"/>
        <w:adjustRightInd/>
        <w:snapToGrid/>
        <w:spacing w:line="600" w:lineRule="exact"/>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抄报：县政协提案委员会25份、县政府督查室1份</w:t>
      </w:r>
    </w:p>
    <w:sectPr>
      <w:pgSz w:w="11906" w:h="16838"/>
      <w:pgMar w:top="2098" w:right="1474" w:bottom="1531"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libri">
    <w:panose1 w:val="020F0502020204030204"/>
    <w:charset w:val="00"/>
    <w:family w:val="auto"/>
    <w:pitch w:val="default"/>
    <w:sig w:usb0="E0002EFF" w:usb1="C000247B" w:usb2="00000009" w:usb3="00000000" w:csb0="200001FF" w:csb1="00000000"/>
  </w:font>
  <w:font w:name="仿宋_GB2312">
    <w:altName w:val="仿宋"/>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130103185">
    <w:nsid w:val="7EF6CB91"/>
    <w:multiLevelType w:val="singleLevel"/>
    <w:tmpl w:val="7EF6CB91"/>
    <w:lvl w:ilvl="0" w:tentative="1">
      <w:start w:val="1"/>
      <w:numFmt w:val="chineseCounting"/>
      <w:suff w:val="nothing"/>
      <w:lvlText w:val="%1、"/>
      <w:lvlJc w:val="left"/>
      <w:rPr>
        <w:rFonts w:hint="eastAsia"/>
      </w:rPr>
    </w:lvl>
  </w:abstractNum>
  <w:num w:numId="1">
    <w:abstractNumId w:val="213010318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2">
    <w:name w:val="Default Paragraph Font"/>
    <w:semiHidden/>
    <w:qFormat/>
    <w:uiPriority w:val="0"/>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2018-07-12T15:11:00Z</dcterms:created>
  <dc:creator>d</dc:creator>
  <cp:lastModifiedBy>高启龙</cp:lastModifiedBy>
  <cp:lastPrinted>2025-08-12T08:40:00Z</cp:lastPrinted>
  <dcterms:modified xsi:type="dcterms:W3CDTF">2025-08-14T23:47:42Z</dcterms:modified>
  <dc:title> 国家税务总局井陉县税务局公文信笺   </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