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37B59A">
      <w:pPr>
        <w:widowControl w:val="0"/>
        <w:wordWrap/>
        <w:adjustRightInd/>
        <w:snapToGrid/>
        <w:spacing w:line="540" w:lineRule="exact"/>
        <w:ind w:firstLine="5940" w:firstLineChars="3300"/>
        <w:jc w:val="both"/>
        <w:textAlignment w:val="auto"/>
        <w:rPr>
          <w:rFonts w:hint="eastAsia" w:ascii="仿宋" w:hAnsi="仿宋" w:eastAsia="仿宋" w:cs="仿宋"/>
          <w:sz w:val="18"/>
          <w:szCs w:val="18"/>
          <w:lang w:val="en-US" w:eastAsia="zh-CN"/>
        </w:rPr>
      </w:pPr>
    </w:p>
    <w:p w14:paraId="5E95D4FB">
      <w:pPr>
        <w:widowControl w:val="0"/>
        <w:wordWrap/>
        <w:adjustRightInd/>
        <w:snapToGrid/>
        <w:spacing w:line="540" w:lineRule="exact"/>
        <w:ind w:firstLine="5940" w:firstLineChars="3300"/>
        <w:jc w:val="both"/>
        <w:textAlignment w:val="auto"/>
        <w:rPr>
          <w:rFonts w:hint="eastAsia" w:ascii="仿宋" w:hAnsi="仿宋" w:eastAsia="仿宋" w:cs="仿宋"/>
          <w:sz w:val="18"/>
          <w:szCs w:val="18"/>
          <w:lang w:val="en-US" w:eastAsia="zh-CN"/>
        </w:rPr>
      </w:pPr>
      <w:r>
        <w:rPr>
          <w:rFonts w:hint="eastAsia" w:ascii="仿宋" w:hAnsi="仿宋" w:eastAsia="仿宋" w:cs="仿宋"/>
          <w:sz w:val="18"/>
          <w:szCs w:val="18"/>
          <w:lang w:val="en-US" w:eastAsia="zh-CN"/>
        </w:rPr>
        <w:t>井司提案字〔2025〕第1号</w:t>
      </w:r>
    </w:p>
    <w:p w14:paraId="2B2FD55F">
      <w:pPr>
        <w:widowControl w:val="0"/>
        <w:wordWrap/>
        <w:adjustRightInd/>
        <w:snapToGrid/>
        <w:spacing w:line="540" w:lineRule="exact"/>
        <w:ind w:firstLine="5940" w:firstLineChars="3300"/>
        <w:jc w:val="both"/>
        <w:textAlignment w:val="auto"/>
        <w:rPr>
          <w:rFonts w:hint="eastAsia" w:ascii="仿宋" w:hAnsi="仿宋" w:eastAsia="仿宋" w:cs="仿宋"/>
          <w:sz w:val="18"/>
          <w:szCs w:val="18"/>
          <w:lang w:val="en-US" w:eastAsia="zh-CN"/>
        </w:rPr>
      </w:pPr>
    </w:p>
    <w:p w14:paraId="7D5FC573">
      <w:pPr>
        <w:widowControl w:val="0"/>
        <w:wordWrap/>
        <w:adjustRightInd/>
        <w:snapToGrid/>
        <w:spacing w:line="540" w:lineRule="exact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关于政协井陉县十届五次会议</w:t>
      </w:r>
    </w:p>
    <w:p w14:paraId="56354D56">
      <w:pPr>
        <w:widowControl w:val="0"/>
        <w:wordWrap/>
        <w:adjustRightInd/>
        <w:snapToGrid/>
        <w:spacing w:line="540" w:lineRule="exact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第三十三号提案的答复</w:t>
      </w:r>
    </w:p>
    <w:p w14:paraId="0E6C1172">
      <w:pPr>
        <w:widowControl w:val="0"/>
        <w:wordWrap/>
        <w:adjustRightInd/>
        <w:snapToGrid/>
        <w:spacing w:line="5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49FC6A01">
      <w:pPr>
        <w:widowControl w:val="0"/>
        <w:wordWrap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毕国华委员：</w:t>
      </w:r>
    </w:p>
    <w:p w14:paraId="59F4D6D7">
      <w:pPr>
        <w:widowControl w:val="0"/>
        <w:wordWrap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您提出的“关于进一步落实《关于严格规范涉企行政检查的意见》的建议”提案收悉，现答复如下：</w:t>
      </w:r>
    </w:p>
    <w:p w14:paraId="13C88D20">
      <w:pPr>
        <w:widowControl w:val="0"/>
        <w:wordWrap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为推进严格规范公正文明执法，维护公民、法人和其他组织的合法权益，县司法局积极按照上级相关部署要求，积极落实《关于严格规范涉企行政检查的实施方案》《石家庄市规范涉企行政执法专项行动实施方案》等文件要求，规范涉企行政检查工作，现将工作开展情况汇报如下：</w:t>
      </w:r>
    </w:p>
    <w:p w14:paraId="1ED766F3">
      <w:pPr>
        <w:widowControl w:val="0"/>
        <w:numPr>
          <w:ilvl w:val="0"/>
          <w:numId w:val="1"/>
        </w:numPr>
        <w:wordWrap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组织领导情况</w:t>
      </w:r>
    </w:p>
    <w:p w14:paraId="0C3C04FC">
      <w:pPr>
        <w:widowControl w:val="0"/>
        <w:wordWrap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印发《井陉县规范涉企行政执法专项行动实施方案》（以下简称《实施方案》），成立以副县长、公安局局长赵洪亮为组长，县政府办公室三级主任科员刘富圆为第一副组长，司法局党组书记、局长王霞为常务副组长，县纪委监委驻县委政法委纪检监察组组长王玉成为副组长，46个相关单位分管领导为成员的专项行动工作小组，明确整治工作重点任务、工作举措、时间节点等。4月30日、5月14日、6月10日、6月23日、7月11日召开井陉县规范涉企行政执法专项行动工作推进会，对整治违规异地执法、趋利性执法以及乱收费、乱罚款、乱检查、乱查封等问题进行部署，通报典型案例，协调推进主要工作，并形成日报告、周调度、月总结的工作模式。</w:t>
      </w:r>
    </w:p>
    <w:p w14:paraId="32FCBC9D">
      <w:pPr>
        <w:widowControl w:val="0"/>
        <w:numPr>
          <w:ilvl w:val="0"/>
          <w:numId w:val="1"/>
        </w:numPr>
        <w:wordWrap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工作推进情况</w:t>
      </w:r>
    </w:p>
    <w:p w14:paraId="082BBD4B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640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（一）积极开展线索摸排。</w:t>
      </w:r>
      <w:r>
        <w:rPr>
          <w:rFonts w:hint="eastAsia" w:ascii="仿宋" w:hAnsi="仿宋" w:eastAsia="仿宋" w:cs="仿宋"/>
          <w:b/>
          <w:bCs/>
          <w:spacing w:val="5"/>
          <w:kern w:val="0"/>
          <w:position w:val="2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充分利用行政执法监督与“12345”政务服务热线平台，核查涉及行政执法相关“12345”热线信息578条，发现涉嫌行政执法不规范、超越权限执法、选择性执法等问题线索5条，制发行政执法监督督办函6件。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发布线索征集公告，县政府网站公开征集涉企行政执法问题线索，并组织各行政执法单位公开投诉举报电话及邮箱，接受社会监督。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三是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充分听取企业意见，组织21家企业召开民营企业座谈会，现场发放《涉企行政执法工作调查问卷》、“扫码入企”APP宣传页等，充分听取企业对涉企行政执法工作的意见建议。</w:t>
      </w:r>
    </w:p>
    <w:p w14:paraId="08C27333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（二）开展行政执法案卷评查。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月，抽查全县32个行政执法单位的63本案卷，各单位对发现的问题进行了整改。5月，分批分领域继续开展评查工作，对人社局、医保局、交通运输局、生态环境局、农业农村局等单位的42本行政执法案卷进行逐一评查，严查滥用自由裁量权，同案不同罚；执法权限、程序违法；执法标准不统一加重企业负担等行为。7月，抽查涉企行政执法案卷49本，着重对执法主体、事实认定、证据收集、法律适用等方面逐项审查，发现的问题现场反馈，针对难点、共性问题进行了深入探讨，共同剖析根源。</w:t>
      </w:r>
    </w:p>
    <w:p w14:paraId="74C172A2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（三）开展规范涉企行政检查行动。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印发《关于贯彻落实&lt;关于严格规范涉企行政检查实施方案&gt;的通知》，</w:t>
      </w:r>
      <w:r>
        <w:rPr>
          <w:rFonts w:hint="eastAsia" w:ascii="仿宋" w:hAnsi="仿宋" w:eastAsia="仿宋" w:cs="仿宋"/>
          <w:sz w:val="32"/>
          <w:szCs w:val="32"/>
        </w:rPr>
        <w:t>明确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涉企行政执法检查</w:t>
      </w:r>
      <w:r>
        <w:rPr>
          <w:rFonts w:hint="eastAsia" w:ascii="仿宋" w:hAnsi="仿宋" w:eastAsia="仿宋" w:cs="仿宋"/>
          <w:sz w:val="32"/>
          <w:szCs w:val="32"/>
        </w:rPr>
        <w:t>的各项工作任务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及</w:t>
      </w:r>
      <w:r>
        <w:rPr>
          <w:rFonts w:hint="eastAsia" w:ascii="仿宋" w:hAnsi="仿宋" w:eastAsia="仿宋" w:cs="仿宋"/>
          <w:sz w:val="32"/>
          <w:szCs w:val="32"/>
        </w:rPr>
        <w:t>具体落实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举措。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完善涉企行政检查清单，现形成我县涉企行政检查主体清单（共45个执法单位），各涉企行政检查单位制定了涉企行政检查事项清单（共277条检查事项）及年度涉企行政检查计划等。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设立涉企行政检查专栏，涉企检查主体、事项、检查标准、检查频次等统一公布，严格规范涉企检查工作，实现清单之外无检查的目标。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三是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积极推行省级“扫码入企”APP，6月26日“扫码入企”APP正式投入使用，行政检查人员必须扫描企业营业执照上的二维码方可入企检查，行政检查超过最高频次的企业有权拒绝，以确保检查行为过程透明、源头可溯，防止检查过多和执法扰企，杜绝违法违规检查。</w:t>
      </w:r>
    </w:p>
    <w:p w14:paraId="01D33997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64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（四）规范行政执法罚没行为。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罚没许可证年检，联合县财政局印发《关于组织开展2025年全县罚没行为核查暨罚没许可证年检工作的通知》，对全县48个罚没主体的资格进行年检，重点检查罚没财物是否严格落实收支两条线规定、是否落实罚缴分离制度等情况。与县财政局定期对全县行政执法单位罚没收入数据进行检测，对罚没收入异常增长情况进行研判。</w:t>
      </w:r>
    </w:p>
    <w:p w14:paraId="1F85575C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64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（五）加强行政执法人员管理。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为进一步加强行政执法人员管理，规范行政执法工作，开展行政执法人员资格清理工作，对95名不在执法岗位的人员执法证予以注销。加强与县纪委监委信息互通，对自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“群腐”整治工作开展以来，因行政执法工作违规违纪被党纪政务处分的2名人员吊销或暂扣其行政执法证件。为进一步提升行政执法人员规范执法意识，组织我县行政执法人员及行政执法监督人员756人学习观看行政执法工作警示教育片，警醒执法人员在工作中要精准把握执法尺度，展现执法温度。</w:t>
      </w:r>
    </w:p>
    <w:p w14:paraId="3695F97B">
      <w:pPr>
        <w:widowControl w:val="0"/>
        <w:numPr>
          <w:ilvl w:val="0"/>
          <w:numId w:val="1"/>
        </w:numPr>
        <w:wordWrap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工作成效</w:t>
      </w:r>
    </w:p>
    <w:p w14:paraId="1E41903C">
      <w:pPr>
        <w:wordWrap/>
        <w:adjustRightInd/>
        <w:snapToGrid/>
        <w:spacing w:line="540" w:lineRule="exact"/>
        <w:ind w:firstLine="66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pacing w:val="5"/>
          <w:kern w:val="0"/>
          <w:position w:val="2"/>
          <w:sz w:val="32"/>
          <w:szCs w:val="32"/>
          <w:lang w:val="en-US" w:eastAsia="zh-CN"/>
        </w:rPr>
        <w:t>（一）行政执法方式更加柔性。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积极倡导各执法单位通过教育提醒、劝导示范等方式开展行政执法工作，注重事前预警，强化源头治理，推动企业自觉诚信守法经营。2025年1月-6月份，我县各行政执法单位罚没收入减少了201万元。积极推行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color="080000" w:fill="FFFFFF"/>
          <w:lang w:val="en-US" w:eastAsia="zh-CN"/>
        </w:rPr>
        <w:t>“首违不罚、轻微免罚”制度，对24起轻微违法行为实施批评教育、责令整改，19.58万元的罚款金额被依法免除，既守住法律底线，又给予企业容错空间，让执法既有刚性约束又具人文关怀。</w:t>
      </w:r>
    </w:p>
    <w:p w14:paraId="488A3176">
      <w:pPr>
        <w:wordWrap/>
        <w:adjustRightInd/>
        <w:snapToGrid/>
        <w:spacing w:line="540" w:lineRule="exact"/>
        <w:ind w:firstLine="66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pacing w:val="5"/>
          <w:kern w:val="0"/>
          <w:position w:val="2"/>
          <w:sz w:val="32"/>
          <w:szCs w:val="32"/>
          <w:lang w:val="en-US" w:eastAsia="zh-CN"/>
        </w:rPr>
        <w:t>（二）涉企行政检查更加有序。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县政府网站设置涉企行政检查公示专栏统一，涉企检查主体、事项、检查标准、检查频次等统一公布，严格规范涉企检查工作。我县2025年以来涉企行政检查次数为811次，同比减少了258次，下降了26%。</w:t>
      </w:r>
    </w:p>
    <w:p w14:paraId="0A007E34">
      <w:pPr>
        <w:wordWrap/>
        <w:adjustRightInd/>
        <w:snapToGrid/>
        <w:spacing w:line="540" w:lineRule="exact"/>
        <w:ind w:firstLine="663" w:firstLineChars="200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pacing w:val="5"/>
          <w:kern w:val="0"/>
          <w:position w:val="2"/>
          <w:sz w:val="32"/>
          <w:szCs w:val="32"/>
          <w:lang w:val="en-US" w:eastAsia="zh-CN"/>
        </w:rPr>
        <w:t>（三）行政执法行为更加规范。</w:t>
      </w: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2025年以来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32"/>
          <w:szCs w:val="32"/>
          <w:shd w:val="clear" w:color="080000" w:fill="FFFFFF"/>
          <w:lang w:val="en-US" w:eastAsia="zh-CN"/>
        </w:rPr>
        <w:t>开展案卷集中抽查3次，评查行政执法单位案卷154本，推动213个案卷问题全部“销号”，案卷优秀率上升24.23%，行政复议纠错率降至3.9%，行政应诉实现“零败诉”，执法行为从“过得去”向“过得硬”转变。</w:t>
      </w:r>
    </w:p>
    <w:p w14:paraId="7879C8BD">
      <w:pPr>
        <w:numPr>
          <w:ilvl w:val="0"/>
          <w:numId w:val="0"/>
        </w:numPr>
        <w:wordWrap/>
        <w:adjustRightInd/>
        <w:snapToGrid/>
        <w:spacing w:line="540" w:lineRule="exact"/>
        <w:ind w:firstLine="660" w:firstLineChars="200"/>
        <w:textAlignment w:val="auto"/>
        <w:rPr>
          <w:rFonts w:hint="eastAsia" w:ascii="黑体" w:hAnsi="黑体" w:eastAsia="黑体" w:cs="黑体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四、下一步工作安排</w:t>
      </w:r>
    </w:p>
    <w:p w14:paraId="15FD5B1E">
      <w:pPr>
        <w:widowControl/>
        <w:wordWrap/>
        <w:adjustRightInd/>
        <w:snapToGrid/>
        <w:spacing w:line="540" w:lineRule="exact"/>
        <w:ind w:firstLine="66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pacing w:val="5"/>
          <w:kern w:val="0"/>
          <w:position w:val="2"/>
          <w:sz w:val="32"/>
          <w:szCs w:val="32"/>
          <w:lang w:val="en-US" w:eastAsia="zh-CN"/>
        </w:rPr>
        <w:t>（一）加大线索摸排力度</w:t>
      </w:r>
      <w:r>
        <w:rPr>
          <w:rFonts w:hint="eastAsia" w:ascii="仿宋" w:hAnsi="仿宋" w:eastAsia="仿宋" w:cs="仿宋"/>
          <w:b/>
          <w:bCs/>
          <w:spacing w:val="5"/>
          <w:kern w:val="0"/>
          <w:position w:val="2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综合执法案卷评查、行政复议和行政诉讼纠错、社会投诉举报、“12345”政务服务热线平台等多渠道，深挖问题，持续抓好问题整改。同时，不断加强与纪检监察、法院、检察院、信访局等部门的沟通协作，形成工作合力，深挖细查执法问题。</w:t>
      </w:r>
    </w:p>
    <w:p w14:paraId="3A31E19F">
      <w:pPr>
        <w:widowControl/>
        <w:wordWrap/>
        <w:adjustRightInd/>
        <w:snapToGrid/>
        <w:spacing w:line="540" w:lineRule="exact"/>
        <w:ind w:firstLine="66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pacing w:val="5"/>
          <w:kern w:val="0"/>
          <w:position w:val="2"/>
          <w:sz w:val="32"/>
          <w:szCs w:val="32"/>
          <w:lang w:val="en-US" w:eastAsia="zh-CN"/>
        </w:rPr>
        <w:t>（二）加强执法队伍建设。</w:t>
      </w: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加强执法人员业务知识和执法技能培训，严格执法人员资格管理，组织好全县行政执法人员法律知识培训及考试工作，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对于</w:t>
      </w: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培训不达标、考试不通过的，一律取消执法资格。</w:t>
      </w:r>
    </w:p>
    <w:p w14:paraId="5E193B77">
      <w:pPr>
        <w:widowControl/>
        <w:wordWrap/>
        <w:adjustRightInd/>
        <w:snapToGrid/>
        <w:spacing w:line="540" w:lineRule="exact"/>
        <w:ind w:firstLine="66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spacing w:val="5"/>
          <w:kern w:val="0"/>
          <w:position w:val="2"/>
          <w:sz w:val="32"/>
          <w:szCs w:val="32"/>
          <w:lang w:val="en-US" w:eastAsia="zh-CN"/>
        </w:rPr>
        <w:t>（三）健全完善长效机制。</w:t>
      </w: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不断完善行政执法标准、执法流程、执法监督制度体系，建立健全企业信用等级监管、信息共享机制等。针对集中整治过程中发现的突出问题和薄弱环节，进一步完善责任追究等制度机制，不断深入推进严格规范公正文明执法。</w:t>
      </w:r>
    </w:p>
    <w:p w14:paraId="70950B47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66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</w:p>
    <w:p w14:paraId="6168A96A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5440" w:firstLineChars="17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井陉县司法局</w:t>
      </w:r>
    </w:p>
    <w:p w14:paraId="381EBF25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66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　　　　　　　　　　　　　　2025年8月12日</w:t>
      </w:r>
    </w:p>
    <w:p w14:paraId="732B95BE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ind w:firstLine="66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</w:p>
    <w:p w14:paraId="539C6553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县政府主管领导意见：</w:t>
      </w:r>
    </w:p>
    <w:p w14:paraId="720E75A4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</w:p>
    <w:p w14:paraId="537A5344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</w:p>
    <w:p w14:paraId="5710DBD5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领导签发：</w:t>
      </w:r>
    </w:p>
    <w:p w14:paraId="76ABE375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</w:p>
    <w:p w14:paraId="67D4CB06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</w:p>
    <w:p w14:paraId="6D17C0E3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jc w:val="left"/>
        <w:textAlignment w:val="auto"/>
        <w:rPr>
          <w:rFonts w:hint="default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单位联系人：刘宁</w:t>
      </w:r>
    </w:p>
    <w:p w14:paraId="7CCA7150">
      <w:pPr>
        <w:widowControl w:val="0"/>
        <w:numPr>
          <w:ilvl w:val="0"/>
          <w:numId w:val="0"/>
        </w:numPr>
        <w:wordWrap/>
        <w:adjustRightInd/>
        <w:snapToGrid/>
        <w:spacing w:line="540" w:lineRule="exact"/>
        <w:jc w:val="left"/>
        <w:textAlignment w:val="auto"/>
        <w:rPr>
          <w:rFonts w:hint="default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pacing w:val="5"/>
          <w:kern w:val="0"/>
          <w:position w:val="2"/>
          <w:sz w:val="32"/>
          <w:szCs w:val="32"/>
          <w:lang w:val="en-US" w:eastAsia="zh-CN"/>
        </w:rPr>
        <w:t>单位联系人电话：82031657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39E2E6">
    <w:pPr>
      <w:pStyle w:val="4"/>
    </w:pPr>
    <w:r>
      <w:rPr>
        <w:rFonts w:ascii="Calibri" w:hAnsi="Calibri" w:eastAsia="宋体" w:cs="黑体"/>
        <w:kern w:val="2"/>
        <w:sz w:val="18"/>
        <w:szCs w:val="24"/>
        <w:lang w:val="en-US" w:eastAsia="zh-CN" w:bidi="ar-SA"/>
      </w:rPr>
      <w:pict>
        <v:rect id="文本框 1" o:spid="_x0000_s2049" o:spt="1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1E2C7009">
                <w:pPr>
                  <w:pStyle w:val="4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— </w:t>
                </w:r>
                <w:r>
                  <w:rPr>
                    <w:sz w:val="24"/>
                    <w:szCs w:val="24"/>
                  </w:rPr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- 1 -</w:t>
                </w:r>
                <w:r>
                  <w:rPr>
                    <w:sz w:val="24"/>
                    <w:szCs w:val="24"/>
                  </w:rPr>
                  <w:fldChar w:fldCharType="end"/>
                </w:r>
                <w:r>
                  <w:rPr>
                    <w:sz w:val="24"/>
                    <w:szCs w:val="24"/>
                  </w:rPr>
                  <w:t xml:space="preserve"> —</w:t>
                </w:r>
              </w:p>
            </w:txbxContent>
          </v:textbox>
        </v:rect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E09AC2"/>
    <w:multiLevelType w:val="singleLevel"/>
    <w:tmpl w:val="E1E09AC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5B8C057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ind w:firstLine="540"/>
    </w:pPr>
    <w:rPr>
      <w:sz w:val="3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footnote text"/>
    <w:basedOn w:val="1"/>
    <w:next w:val="7"/>
    <w:qFormat/>
    <w:uiPriority w:val="0"/>
    <w:pPr>
      <w:snapToGrid w:val="0"/>
      <w:jc w:val="left"/>
    </w:pPr>
    <w:rPr>
      <w:sz w:val="18"/>
      <w:szCs w:val="18"/>
    </w:rPr>
  </w:style>
  <w:style w:type="paragraph" w:styleId="7">
    <w:name w:val="Body Text First Indent 2"/>
    <w:basedOn w:val="3"/>
    <w:qFormat/>
    <w:uiPriority w:val="0"/>
    <w:pPr>
      <w:ind w:firstLine="420" w:firstLineChars="200"/>
    </w:p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11">
    <w:name w:val="Strong"/>
    <w:basedOn w:val="10"/>
    <w:qFormat/>
    <w:uiPriority w:val="0"/>
    <w:rPr>
      <w:b/>
    </w:rPr>
  </w:style>
  <w:style w:type="paragraph" w:customStyle="1" w:styleId="12">
    <w:name w:val="大标题"/>
    <w:basedOn w:val="8"/>
    <w:link w:val="13"/>
    <w:qFormat/>
    <w:uiPriority w:val="0"/>
    <w:pPr>
      <w:spacing w:beforeLines="100" w:beforeAutospacing="0" w:afterAutospacing="0" w:line="574" w:lineRule="exact"/>
      <w:jc w:val="center"/>
    </w:pPr>
    <w:rPr>
      <w:rFonts w:eastAsia="方正小标宋简体"/>
      <w:sz w:val="44"/>
    </w:rPr>
  </w:style>
  <w:style w:type="character" w:customStyle="1" w:styleId="13">
    <w:name w:val="大标题 Char"/>
    <w:link w:val="12"/>
    <w:qFormat/>
    <w:uiPriority w:val="0"/>
    <w:rPr>
      <w:rFonts w:eastAsia="方正小标宋简体"/>
      <w:sz w:val="4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2472</Words>
  <Characters>2563</Characters>
  <Lines>0</Lines>
  <Paragraphs>0</Paragraphs>
  <TotalTime>0</TotalTime>
  <ScaleCrop>false</ScaleCrop>
  <LinksUpToDate>false</LinksUpToDate>
  <CharactersWithSpaces>2581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2025-04-02T01:38:00Z</dcterms:created>
  <dc:creator>Administrator</dc:creator>
  <cp:lastModifiedBy>Fiona</cp:lastModifiedBy>
  <cp:lastPrinted>2025-07-15T01:01:00Z</cp:lastPrinted>
  <dcterms:modified xsi:type="dcterms:W3CDTF">2025-12-05T08:55:47Z</dcterms:modified>
  <dc:title>井司提案字〔2025〕第1号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eyJoZGlkIjoiZmNlYjhkODkzODVhZDQxZTIyOGFkZGVhMzBkNTUzZmEiLCJ1c2VySWQiOiIyNDgyNjgxOTkifQ==</vt:lpwstr>
  </property>
  <property fmtid="{D5CDD505-2E9C-101B-9397-08002B2CF9AE}" pid="4" name="ICV">
    <vt:lpwstr>BC85E258DC2A4ADBB279EFDF931882AB_12</vt:lpwstr>
  </property>
</Properties>
</file>