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7854" w:rsidRDefault="00E00414">
      <w:pPr>
        <w:spacing w:line="600" w:lineRule="auto"/>
        <w:rPr>
          <w:rFonts w:ascii="楷体_GB2312" w:eastAsia="楷体_GB2312" w:hAnsi="楷体_GB2312" w:cs="楷体_GB2312"/>
          <w:color w:val="000000"/>
          <w:sz w:val="40"/>
          <w:szCs w:val="40"/>
        </w:rPr>
      </w:pPr>
      <w:r>
        <w:rPr>
          <w:noProof/>
        </w:rP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8" cstate="print">
                      <a:lum bright="6000"/>
                    </a:blip>
                    <a:srcRect t="559" b="3637"/>
                    <a:stretch>
                      <a:fillRect/>
                    </a:stretch>
                  </pic:blipFill>
                  <pic:spPr>
                    <a:xfrm>
                      <a:off x="0" y="0"/>
                      <a:ext cx="8646795" cy="11107420"/>
                    </a:xfrm>
                    <a:prstGeom prst="rect">
                      <a:avLst/>
                    </a:prstGeom>
                  </pic:spPr>
                </pic:pic>
              </a:graphicData>
            </a:graphic>
          </wp:anchor>
        </w:drawing>
      </w:r>
      <w:r w:rsidR="000773FC">
        <w:pict>
          <v:shapetype id="_x0000_t202" coordsize="21600,21600" o:spt="202" path="m,l,21600r21600,l21600,xe">
            <v:stroke joinstyle="miter"/>
            <v:path gradientshapeok="t" o:connecttype="rect"/>
          </v:shapetype>
          <v:shape id="_x0000_s1026" type="#_x0000_t202" alt="7b0a2020202022776f7264617274223a20227b5c2269645c223a32353030323136362c5c227469645c223a5c225c227d220a7d0a" style="position:absolute;left:0;text-align:left;margin-left:-43.05pt;margin-top:19.95pt;width:506.4pt;height:225.4pt;z-index:251660288;mso-position-horizontal-relative:text;mso-position-vertical-relative:text;mso-width-relative:page;mso-height-relative:page" filled="f" stroked="f">
            <v:textbox>
              <w:txbxContent>
                <w:p w:rsidR="00C37854" w:rsidRDefault="00E00414">
                  <w:pPr>
                    <w:spacing w:line="1400" w:lineRule="exact"/>
                    <w:jc w:val="left"/>
                    <w:rPr>
                      <w:rFonts w:ascii="方正小标宋_GBK" w:eastAsia="方正小标宋_GBK" w:hAnsi="方正小标宋_GBK" w:cs="方正小标宋_GBK"/>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2024年度</w:t>
                  </w:r>
                </w:p>
                <w:p w:rsidR="00C37854" w:rsidRDefault="00E00414">
                  <w:pPr>
                    <w:spacing w:line="1400" w:lineRule="exact"/>
                    <w:jc w:val="left"/>
                    <w:rPr>
                      <w:rFonts w:ascii="方正小标宋_GBK" w:eastAsia="方正小标宋_GBK" w:hAnsi="方正小标宋_GBK" w:cs="方正小标宋_GBK"/>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部门决算公开文本</w:t>
                  </w:r>
                </w:p>
              </w:txbxContent>
            </v:textbox>
          </v:shape>
        </w:pict>
      </w: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C37854">
      <w:pPr>
        <w:spacing w:line="600" w:lineRule="auto"/>
        <w:rPr>
          <w:rFonts w:ascii="楷体_GB2312" w:eastAsia="楷体_GB2312" w:hAnsi="楷体_GB2312" w:cs="楷体_GB2312"/>
          <w:color w:val="000000"/>
          <w:sz w:val="40"/>
          <w:szCs w:val="40"/>
        </w:rPr>
      </w:pPr>
    </w:p>
    <w:p w:rsidR="00C37854" w:rsidRDefault="00E00414">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：241</w:t>
      </w:r>
    </w:p>
    <w:p w:rsidR="00C37854" w:rsidRDefault="00E00414">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单位名称</w:t>
      </w:r>
      <w:r>
        <w:rPr>
          <w:rFonts w:ascii="楷体_GB2312" w:eastAsia="楷体_GB2312" w:hAnsi="楷体_GB2312" w:cs="楷体_GB2312" w:hint="eastAsia"/>
          <w:color w:val="000000"/>
          <w:sz w:val="40"/>
          <w:szCs w:val="40"/>
        </w:rPr>
        <w:t>：井陉县档案馆（中共井陉县委党史县志研究中心）</w:t>
      </w:r>
    </w:p>
    <w:p w:rsidR="00C37854" w:rsidRDefault="00C37854">
      <w:pPr>
        <w:spacing w:line="600" w:lineRule="auto"/>
        <w:rPr>
          <w:rFonts w:ascii="楷体_GB2312" w:eastAsia="楷体_GB2312" w:hAnsi="楷体_GB2312" w:cs="楷体_GB2312"/>
          <w:color w:val="000000"/>
          <w:sz w:val="40"/>
          <w:szCs w:val="40"/>
        </w:rPr>
        <w:sectPr w:rsidR="00C37854">
          <w:headerReference w:type="default" r:id="rId9"/>
          <w:footerReference w:type="default" r:id="rId10"/>
          <w:pgSz w:w="11906" w:h="16838"/>
          <w:pgMar w:top="2098" w:right="1417" w:bottom="1871" w:left="1417" w:header="851" w:footer="992" w:gutter="0"/>
          <w:pgNumType w:start="1"/>
          <w:cols w:space="720"/>
          <w:docGrid w:type="lines" w:linePitch="312"/>
        </w:sectPr>
      </w:pPr>
    </w:p>
    <w:p w:rsidR="00C37854" w:rsidRDefault="00C37854">
      <w:pPr>
        <w:spacing w:line="600" w:lineRule="auto"/>
        <w:jc w:val="center"/>
        <w:rPr>
          <w:rFonts w:ascii="楷体_GB2312" w:eastAsia="楷体_GB2312" w:hAnsi="楷体_GB2312" w:cs="楷体_GB2312"/>
          <w:color w:val="000000"/>
          <w:sz w:val="40"/>
          <w:szCs w:val="40"/>
        </w:rPr>
      </w:pPr>
    </w:p>
    <w:p w:rsidR="00C37854" w:rsidRDefault="00C37854">
      <w:pPr>
        <w:rPr>
          <w:rFonts w:ascii="黑体" w:eastAsia="黑体" w:hAnsi="黑体" w:cs="黑体"/>
          <w:b/>
          <w:bCs/>
          <w:sz w:val="32"/>
          <w:szCs w:val="36"/>
          <w:highlight w:val="yellow"/>
        </w:rPr>
      </w:pPr>
    </w:p>
    <w:p w:rsidR="00C37854" w:rsidRDefault="00E00414">
      <w:pPr>
        <w:widowControl/>
        <w:spacing w:line="360" w:lineRule="auto"/>
        <w:jc w:val="center"/>
        <w:rPr>
          <w:rFonts w:ascii="Times New Roman" w:eastAsia="方正小标宋_GBK"/>
          <w:sz w:val="72"/>
          <w:szCs w:val="72"/>
        </w:rPr>
      </w:pPr>
      <w:r>
        <w:rPr>
          <w:rFonts w:ascii="Times New Roman" w:eastAsia="方正小标宋_GBK"/>
          <w:sz w:val="72"/>
          <w:szCs w:val="72"/>
        </w:rPr>
        <w:t>井陉县档案馆</w:t>
      </w:r>
    </w:p>
    <w:p w:rsidR="00C37854" w:rsidRDefault="00E00414">
      <w:pPr>
        <w:widowControl/>
        <w:spacing w:line="360" w:lineRule="auto"/>
        <w:jc w:val="center"/>
        <w:rPr>
          <w:rFonts w:ascii="Times New Roman" w:eastAsia="方正小标宋_GBK"/>
          <w:sz w:val="72"/>
          <w:szCs w:val="72"/>
        </w:rPr>
      </w:pPr>
      <w:r>
        <w:rPr>
          <w:rFonts w:ascii="Times New Roman" w:eastAsia="方正小标宋_GBK"/>
          <w:sz w:val="72"/>
          <w:szCs w:val="72"/>
        </w:rPr>
        <w:t>（中共井陉县委党史县志研究中心）</w:t>
      </w:r>
    </w:p>
    <w:p w:rsidR="00C37854" w:rsidRDefault="00E00414">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w:t>
      </w:r>
      <w:r w:rsidR="005D43D1">
        <w:rPr>
          <w:rFonts w:ascii="宋体" w:eastAsia="宋体" w:hAnsi="宋体" w:hint="eastAsia"/>
          <w:sz w:val="72"/>
          <w:szCs w:val="72"/>
        </w:rPr>
        <w:t>部门</w:t>
      </w:r>
      <w:bookmarkStart w:id="0" w:name="_GoBack"/>
      <w:bookmarkEnd w:id="0"/>
      <w:r>
        <w:rPr>
          <w:rFonts w:ascii="Times New Roman" w:eastAsia="方正小标宋_GBK"/>
          <w:sz w:val="72"/>
          <w:szCs w:val="72"/>
        </w:rPr>
        <w:t>决算公开文本</w:t>
      </w:r>
      <w:r w:rsidR="00535CB2">
        <w:rPr>
          <w:rFonts w:ascii="Times New Roman" w:eastAsia="方正小标宋_GBK" w:hint="eastAsia"/>
          <w:sz w:val="72"/>
          <w:szCs w:val="72"/>
        </w:rPr>
        <w:t>（本</w:t>
      </w:r>
      <w:r w:rsidR="00535CB2">
        <w:rPr>
          <w:rFonts w:ascii="宋体" w:eastAsia="宋体" w:hAnsi="宋体" w:hint="eastAsia"/>
          <w:sz w:val="72"/>
          <w:szCs w:val="72"/>
        </w:rPr>
        <w:t>级</w:t>
      </w:r>
      <w:r w:rsidR="00535CB2">
        <w:rPr>
          <w:rFonts w:ascii="Times New Roman" w:eastAsia="方正小标宋_GBK" w:hint="eastAsia"/>
          <w:sz w:val="72"/>
          <w:szCs w:val="72"/>
        </w:rPr>
        <w:t>）</w:t>
      </w:r>
    </w:p>
    <w:p w:rsidR="00C37854" w:rsidRDefault="00C37854">
      <w:pPr>
        <w:spacing w:line="360" w:lineRule="auto"/>
        <w:jc w:val="center"/>
        <w:rPr>
          <w:rFonts w:ascii="黑体" w:eastAsia="黑体" w:hAnsi="黑体" w:cs="黑体"/>
          <w:sz w:val="56"/>
          <w:szCs w:val="72"/>
        </w:rPr>
      </w:pPr>
    </w:p>
    <w:p w:rsidR="00C37854" w:rsidRDefault="00C37854">
      <w:pPr>
        <w:spacing w:line="600" w:lineRule="auto"/>
        <w:jc w:val="center"/>
        <w:rPr>
          <w:rFonts w:ascii="黑体" w:eastAsia="黑体" w:hAnsi="黑体" w:cs="黑体"/>
          <w:sz w:val="56"/>
          <w:szCs w:val="72"/>
        </w:rPr>
      </w:pPr>
    </w:p>
    <w:p w:rsidR="00C37854" w:rsidRDefault="00C37854">
      <w:pPr>
        <w:spacing w:line="600" w:lineRule="auto"/>
        <w:jc w:val="center"/>
        <w:rPr>
          <w:rFonts w:ascii="黑体" w:eastAsia="黑体" w:hAnsi="黑体" w:cs="黑体"/>
          <w:sz w:val="56"/>
          <w:szCs w:val="72"/>
        </w:rPr>
      </w:pPr>
    </w:p>
    <w:p w:rsidR="00C37854" w:rsidRDefault="00C37854">
      <w:pPr>
        <w:spacing w:line="480" w:lineRule="auto"/>
        <w:rPr>
          <w:rFonts w:ascii="黑体" w:eastAsia="黑体" w:hAnsi="黑体" w:cs="黑体"/>
          <w:sz w:val="56"/>
          <w:szCs w:val="72"/>
        </w:rPr>
      </w:pPr>
    </w:p>
    <w:p w:rsidR="00C37854" w:rsidRDefault="00E00414">
      <w:pPr>
        <w:widowControl/>
        <w:spacing w:line="360" w:lineRule="auto"/>
        <w:jc w:val="center"/>
        <w:rPr>
          <w:rFonts w:ascii="Times New Roman" w:eastAsia="楷体_GB2312"/>
          <w:sz w:val="44"/>
          <w:szCs w:val="44"/>
        </w:rPr>
      </w:pPr>
      <w:r>
        <w:rPr>
          <w:rFonts w:ascii="Times New Roman" w:eastAsia="楷体_GB2312"/>
          <w:sz w:val="44"/>
          <w:szCs w:val="44"/>
        </w:rPr>
        <w:t>井陉县档案馆</w:t>
      </w:r>
    </w:p>
    <w:p w:rsidR="00C37854" w:rsidRDefault="00E00414">
      <w:pPr>
        <w:widowControl/>
        <w:spacing w:line="360" w:lineRule="auto"/>
        <w:jc w:val="center"/>
        <w:rPr>
          <w:rFonts w:ascii="Times New Roman" w:eastAsia="楷体_GB2312"/>
          <w:sz w:val="44"/>
          <w:szCs w:val="44"/>
        </w:rPr>
      </w:pPr>
      <w:r>
        <w:rPr>
          <w:rFonts w:ascii="Times New Roman" w:eastAsia="楷体_GB2312"/>
          <w:sz w:val="44"/>
          <w:szCs w:val="44"/>
        </w:rPr>
        <w:t>（中共井陉县委党史县志研究中心）</w:t>
      </w:r>
    </w:p>
    <w:p w:rsidR="00C37854" w:rsidRDefault="00E00414">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ascii="Times New Roman" w:eastAsia="楷体_GB2312" w:hint="eastAsia"/>
          <w:sz w:val="44"/>
          <w:szCs w:val="44"/>
        </w:rPr>
        <w:t>十一</w:t>
      </w:r>
      <w:r>
        <w:rPr>
          <w:rFonts w:ascii="Times New Roman" w:eastAsia="楷体_GB2312"/>
          <w:sz w:val="44"/>
          <w:szCs w:val="44"/>
        </w:rPr>
        <w:t>月</w:t>
      </w:r>
    </w:p>
    <w:p w:rsidR="00C37854" w:rsidRDefault="00C37854">
      <w:pPr>
        <w:snapToGrid w:val="0"/>
        <w:jc w:val="left"/>
        <w:rPr>
          <w:rFonts w:ascii="楷体_GB2312" w:eastAsia="楷体_GB2312" w:hAnsi="楷体_GB2312" w:cs="楷体_GB2312"/>
          <w:color w:val="000000" w:themeColor="text1"/>
          <w:sz w:val="44"/>
          <w:szCs w:val="44"/>
        </w:rPr>
        <w:sectPr w:rsidR="00C37854">
          <w:footerReference w:type="default" r:id="rId11"/>
          <w:pgSz w:w="11906" w:h="16838"/>
          <w:pgMar w:top="1531" w:right="1984" w:bottom="1531" w:left="2098" w:header="851" w:footer="992" w:gutter="0"/>
          <w:cols w:space="720"/>
          <w:docGrid w:type="lines" w:linePitch="312"/>
        </w:sectPr>
      </w:pPr>
    </w:p>
    <w:p w:rsidR="00C37854" w:rsidRDefault="00C37854">
      <w:pPr>
        <w:widowControl/>
        <w:spacing w:line="600" w:lineRule="exact"/>
        <w:jc w:val="left"/>
        <w:rPr>
          <w:rFonts w:ascii="黑体" w:eastAsia="黑体" w:hAnsi="黑体" w:cs="黑体"/>
          <w:bCs/>
          <w:sz w:val="32"/>
          <w:szCs w:val="32"/>
        </w:rPr>
      </w:pPr>
    </w:p>
    <w:p w:rsidR="00C37854" w:rsidRDefault="00C37854">
      <w:pPr>
        <w:tabs>
          <w:tab w:val="left" w:pos="2728"/>
        </w:tabs>
        <w:jc w:val="center"/>
        <w:rPr>
          <w:rFonts w:ascii="黑体" w:eastAsia="黑体" w:hAnsi="Times New Roman" w:cs="Times New Roman"/>
          <w:sz w:val="48"/>
          <w:szCs w:val="48"/>
        </w:rPr>
      </w:pPr>
    </w:p>
    <w:p w:rsidR="00C37854" w:rsidRDefault="00E00414">
      <w:pPr>
        <w:widowControl/>
        <w:spacing w:line="360" w:lineRule="auto"/>
        <w:jc w:val="center"/>
        <w:outlineLvl w:val="0"/>
        <w:rPr>
          <w:rFonts w:ascii="Times New Roman" w:eastAsia="黑体"/>
          <w:sz w:val="44"/>
          <w:szCs w:val="44"/>
        </w:rPr>
      </w:pPr>
      <w:r>
        <w:rPr>
          <w:rFonts w:ascii="Times New Roman" w:eastAsia="黑体"/>
          <w:sz w:val="44"/>
          <w:szCs w:val="44"/>
        </w:rPr>
        <w:t>目</w:t>
      </w:r>
      <w:r>
        <w:rPr>
          <w:rFonts w:ascii="Times New Roman" w:eastAsia="黑体"/>
          <w:sz w:val="44"/>
          <w:szCs w:val="44"/>
        </w:rPr>
        <w:t xml:space="preserve">  </w:t>
      </w:r>
      <w:r>
        <w:rPr>
          <w:rFonts w:ascii="Times New Roman" w:eastAsia="黑体"/>
          <w:sz w:val="44"/>
          <w:szCs w:val="44"/>
        </w:rPr>
        <w:t>录</w:t>
      </w:r>
    </w:p>
    <w:p w:rsidR="00C37854" w:rsidRDefault="00C37854">
      <w:pPr>
        <w:widowControl/>
        <w:spacing w:after="160" w:line="580" w:lineRule="exact"/>
        <w:ind w:firstLineChars="200" w:firstLine="640"/>
        <w:rPr>
          <w:rFonts w:ascii="Times New Roman" w:eastAsia="黑体" w:hAnsi="Times New Roman" w:cs="Times New Roman"/>
          <w:sz w:val="32"/>
          <w:szCs w:val="32"/>
        </w:rPr>
      </w:pPr>
    </w:p>
    <w:p w:rsidR="00C37854" w:rsidRDefault="00E00414">
      <w:pPr>
        <w:widowControl/>
        <w:spacing w:line="360" w:lineRule="auto"/>
        <w:jc w:val="left"/>
        <w:rPr>
          <w:rFonts w:ascii="Times New Roman" w:eastAsia="黑体"/>
          <w:sz w:val="32"/>
          <w:szCs w:val="32"/>
        </w:rPr>
      </w:pPr>
      <w:r>
        <w:rPr>
          <w:rFonts w:ascii="Times New Roman" w:eastAsia="黑体"/>
          <w:sz w:val="32"/>
          <w:szCs w:val="32"/>
        </w:rPr>
        <w:t>第一部分</w:t>
      </w:r>
      <w:r>
        <w:rPr>
          <w:rFonts w:ascii="Times New Roman" w:eastAsia="黑体" w:hint="eastAsia"/>
          <w:sz w:val="32"/>
          <w:szCs w:val="32"/>
        </w:rPr>
        <w:t xml:space="preserve"> </w:t>
      </w:r>
      <w:r>
        <w:rPr>
          <w:rFonts w:ascii="Times New Roman" w:eastAsia="黑体"/>
          <w:sz w:val="32"/>
          <w:szCs w:val="32"/>
        </w:rPr>
        <w:t>部门概况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一、部门职责</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二、机构设置</w:t>
      </w:r>
    </w:p>
    <w:p w:rsidR="00C37854" w:rsidRDefault="00E00414">
      <w:pPr>
        <w:widowControl/>
        <w:spacing w:line="360" w:lineRule="auto"/>
        <w:jc w:val="left"/>
        <w:outlineLvl w:val="0"/>
        <w:rPr>
          <w:rFonts w:ascii="Times New Roman" w:eastAsia="黑体"/>
          <w:sz w:val="32"/>
          <w:szCs w:val="32"/>
        </w:rPr>
      </w:pPr>
      <w:r>
        <w:rPr>
          <w:rFonts w:ascii="Times New Roman" w:eastAsia="黑体"/>
          <w:sz w:val="32"/>
          <w:szCs w:val="32"/>
        </w:rPr>
        <w:t>第二部分</w:t>
      </w:r>
      <w:r>
        <w:rPr>
          <w:rFonts w:ascii="Times New Roman" w:eastAsia="黑体"/>
          <w:sz w:val="32"/>
          <w:szCs w:val="32"/>
        </w:rPr>
        <w:t xml:space="preserve"> 2024</w:t>
      </w:r>
      <w:r>
        <w:rPr>
          <w:rFonts w:ascii="Times New Roman" w:eastAsia="黑体"/>
          <w:sz w:val="32"/>
          <w:szCs w:val="32"/>
        </w:rPr>
        <w:t>年度部门决算报表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一、收入支出决算总表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二、收入决算表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三、支出决算表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四、财政拨款收入支出决算总表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五、一般公共预算财政拨款支出决算表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六、一般公共预算财政拨款基本支出决算明细表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七、政府性基金预算财政拨款收入支出决算表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八、国有资本经营预算财政拨款支出决算表</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九、财政拨款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经费支出决算表</w:t>
      </w:r>
    </w:p>
    <w:p w:rsidR="00C37854" w:rsidRDefault="00E00414">
      <w:pPr>
        <w:widowControl/>
        <w:spacing w:line="360" w:lineRule="auto"/>
        <w:jc w:val="left"/>
        <w:rPr>
          <w:rFonts w:ascii="Times New Roman" w:eastAsia="黑体"/>
          <w:sz w:val="32"/>
          <w:szCs w:val="32"/>
        </w:rPr>
      </w:pPr>
      <w:r>
        <w:rPr>
          <w:rFonts w:ascii="Times New Roman" w:eastAsia="黑体"/>
          <w:sz w:val="32"/>
          <w:szCs w:val="32"/>
        </w:rPr>
        <w:t>第三部分</w:t>
      </w:r>
      <w:r>
        <w:rPr>
          <w:rFonts w:ascii="Times New Roman" w:eastAsia="黑体"/>
          <w:sz w:val="32"/>
          <w:szCs w:val="32"/>
        </w:rPr>
        <w:t xml:space="preserve"> 2024</w:t>
      </w:r>
      <w:r>
        <w:rPr>
          <w:rFonts w:ascii="Times New Roman" w:eastAsia="黑体"/>
          <w:sz w:val="32"/>
          <w:szCs w:val="32"/>
        </w:rPr>
        <w:t>年度部门决算情况说明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一、收入支出决算总体情况说明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二、收入决算情况说明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三、支出决算情况说明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四、财政拨款收入支出决算总体情况说明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五、财政拨款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六、机关运行经费支出说明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七、政府采购支出说明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八、国有资产占用情况说明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九、关于</w:t>
      </w:r>
      <w:r>
        <w:rPr>
          <w:rFonts w:ascii="Times New Roman" w:eastAsia="仿宋_GB2312"/>
          <w:sz w:val="32"/>
          <w:szCs w:val="32"/>
        </w:rPr>
        <w:t>2024</w:t>
      </w:r>
      <w:r>
        <w:rPr>
          <w:rFonts w:ascii="Times New Roman" w:eastAsia="仿宋_GB2312"/>
          <w:sz w:val="32"/>
          <w:szCs w:val="32"/>
        </w:rPr>
        <w:t>年度绩效评价情况的说明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十、其他需要说明的情况</w:t>
      </w:r>
    </w:p>
    <w:p w:rsidR="00C37854" w:rsidRDefault="00E00414">
      <w:pPr>
        <w:widowControl/>
        <w:spacing w:line="360" w:lineRule="auto"/>
        <w:jc w:val="left"/>
        <w:rPr>
          <w:rFonts w:ascii="Times New Roman" w:eastAsia="黑体"/>
          <w:sz w:val="32"/>
          <w:szCs w:val="32"/>
        </w:rPr>
      </w:pPr>
      <w:r>
        <w:rPr>
          <w:rFonts w:ascii="Times New Roman" w:eastAsia="黑体"/>
          <w:sz w:val="32"/>
          <w:szCs w:val="32"/>
        </w:rPr>
        <w:t>第四部分</w:t>
      </w:r>
      <w:r>
        <w:rPr>
          <w:rFonts w:ascii="Times New Roman" w:eastAsia="黑体"/>
          <w:sz w:val="32"/>
          <w:szCs w:val="32"/>
        </w:rPr>
        <w:t xml:space="preserve"> </w:t>
      </w:r>
      <w:r>
        <w:rPr>
          <w:rFonts w:ascii="Times New Roman" w:eastAsia="黑体"/>
          <w:sz w:val="32"/>
          <w:szCs w:val="32"/>
        </w:rPr>
        <w:t>名词解释</w:t>
      </w:r>
    </w:p>
    <w:p w:rsidR="00C37854" w:rsidRDefault="00C37854">
      <w:pPr>
        <w:widowControl/>
        <w:spacing w:after="160" w:line="580" w:lineRule="exact"/>
        <w:rPr>
          <w:rFonts w:ascii="Times New Roman" w:eastAsia="黑体" w:hAnsi="Times New Roman" w:cs="Times New Roman"/>
          <w:sz w:val="32"/>
          <w:szCs w:val="32"/>
        </w:rPr>
        <w:sectPr w:rsidR="00C37854">
          <w:headerReference w:type="default" r:id="rId12"/>
          <w:footerReference w:type="default" r:id="rId13"/>
          <w:headerReference w:type="first" r:id="rId14"/>
          <w:footerReference w:type="first" r:id="rId15"/>
          <w:pgSz w:w="11906" w:h="16838"/>
          <w:pgMar w:top="1474" w:right="1531" w:bottom="1474" w:left="1531" w:header="851" w:footer="992" w:gutter="0"/>
          <w:cols w:space="0"/>
          <w:titlePg/>
          <w:docGrid w:type="lines" w:linePitch="312"/>
        </w:sectPr>
      </w:pPr>
    </w:p>
    <w:p w:rsidR="00C37854" w:rsidRDefault="00E00414">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第一部分部门概况</w:t>
      </w:r>
    </w:p>
    <w:p w:rsidR="00C37854" w:rsidRDefault="00E00414">
      <w:pPr>
        <w:widowControl/>
        <w:spacing w:line="360" w:lineRule="auto"/>
        <w:jc w:val="left"/>
        <w:outlineLvl w:val="1"/>
        <w:rPr>
          <w:rFonts w:ascii="Times New Roman" w:eastAsia="黑体"/>
          <w:sz w:val="32"/>
          <w:szCs w:val="32"/>
        </w:rPr>
      </w:pPr>
      <w:r>
        <w:rPr>
          <w:rFonts w:ascii="Times New Roman" w:eastAsia="黑体"/>
          <w:sz w:val="32"/>
          <w:szCs w:val="32"/>
        </w:rPr>
        <w:t>一、部门职责</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1、贯彻执行国家、省、市、县有关档案管理的法律、</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法规、规章,配合做好档案公共事务工作。</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2、集中统一管理县直单位各历史时期的档案资料，保管革命历史、旧政权、著名人物以及具有地方特色的各种档案资料，保守党和国家机密，维护档案完整，确保档案资料安全。</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3、接收县委、县人大、县政府、县政协、县纪委监委及县直各机关、单位、各乡镇党委、政府应进馆的档案资料。</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4、征集、搜集、整理散存在社会上对国家和社会有保存价值的珍贵档案和党史、地方志文献资料。</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5、负责馆藏档案资料和旧志的整理、编目、鉴定、统计和技术保护工作。</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6、依法开放档案，为党和政府及社会各方面提供利用服务。</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7、承担政府公开信息的收集、管理和集中查阅工作。</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8、开发档案和党史、地方志信息资源，建立方志馆，开展档案史料编研出版、展览陈列和社会教育活动。</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9、运用现代化技术手段，开展馆藏档案信息化建设。</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lastRenderedPageBreak/>
        <w:t>10、编纂党史、地方志书、地方综合年鉴和其他地情资料。</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11、开展档案和党史、方志理论研究，进行学术交流。</w:t>
      </w:r>
    </w:p>
    <w:p w:rsidR="00C37854" w:rsidRDefault="00E00414">
      <w:pPr>
        <w:widowControl/>
        <w:spacing w:line="360" w:lineRule="auto"/>
        <w:outlineLvl w:val="1"/>
        <w:rPr>
          <w:rFonts w:ascii="仿宋" w:eastAsia="仿宋" w:hAnsi="仿宋"/>
          <w:sz w:val="32"/>
          <w:szCs w:val="32"/>
        </w:rPr>
      </w:pPr>
      <w:r>
        <w:rPr>
          <w:rFonts w:ascii="仿宋" w:eastAsia="仿宋" w:hAnsi="仿宋" w:hint="eastAsia"/>
          <w:sz w:val="32"/>
          <w:szCs w:val="32"/>
        </w:rPr>
        <w:t>12、完成县委交办的其他任务。</w:t>
      </w:r>
    </w:p>
    <w:p w:rsidR="00C37854" w:rsidRDefault="00E00414">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从决算编报单位构成看，纳入</w:t>
      </w:r>
      <w:r>
        <w:rPr>
          <w:rFonts w:ascii="Times New Roman" w:eastAsia="仿宋_GB2312"/>
          <w:sz w:val="32"/>
          <w:szCs w:val="32"/>
        </w:rPr>
        <w:t>2024</w:t>
      </w:r>
      <w:r>
        <w:rPr>
          <w:rFonts w:ascii="Times New Roman" w:eastAsia="仿宋_GB2312"/>
          <w:sz w:val="32"/>
          <w:szCs w:val="32"/>
        </w:rPr>
        <w:t>年度本部门决算汇编范围的独立核算单位（以下简称</w:t>
      </w:r>
      <w:r>
        <w:rPr>
          <w:rFonts w:ascii="Times New Roman" w:eastAsia="仿宋_GB2312"/>
          <w:sz w:val="32"/>
          <w:szCs w:val="32"/>
        </w:rPr>
        <w:t>“</w:t>
      </w:r>
      <w:r>
        <w:rPr>
          <w:rFonts w:ascii="Times New Roman" w:eastAsia="仿宋_GB2312"/>
          <w:sz w:val="32"/>
          <w:szCs w:val="32"/>
        </w:rPr>
        <w:t>单位</w:t>
      </w:r>
      <w:r>
        <w:rPr>
          <w:rFonts w:ascii="Times New Roman" w:eastAsia="仿宋_GB2312"/>
          <w:sz w:val="32"/>
          <w:szCs w:val="32"/>
        </w:rPr>
        <w:t>”</w:t>
      </w:r>
      <w:r>
        <w:rPr>
          <w:rFonts w:ascii="Times New Roman" w:eastAsia="仿宋_GB2312"/>
          <w:sz w:val="32"/>
          <w:szCs w:val="32"/>
        </w:rPr>
        <w:t>）共</w:t>
      </w:r>
      <w:r>
        <w:rPr>
          <w:rFonts w:ascii="Times New Roman" w:eastAsia="仿宋_GB2312" w:hint="eastAsia"/>
          <w:sz w:val="32"/>
          <w:szCs w:val="32"/>
        </w:rPr>
        <w:t>1</w:t>
      </w:r>
      <w:r>
        <w:rPr>
          <w:rFonts w:ascii="Times New Roman" w:eastAsia="仿宋_GB2312"/>
          <w:sz w:val="32"/>
          <w:szCs w:val="32"/>
        </w:rPr>
        <w:t>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C37854">
        <w:trPr>
          <w:trHeight w:val="811"/>
          <w:jc w:val="center"/>
        </w:trPr>
        <w:tc>
          <w:tcPr>
            <w:tcW w:w="985" w:type="dxa"/>
            <w:vAlign w:val="center"/>
          </w:tcPr>
          <w:p w:rsidR="00C37854" w:rsidRDefault="00E00414">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序号</w:t>
            </w:r>
          </w:p>
        </w:tc>
        <w:tc>
          <w:tcPr>
            <w:tcW w:w="3485" w:type="dxa"/>
            <w:vAlign w:val="center"/>
          </w:tcPr>
          <w:p w:rsidR="00C37854" w:rsidRDefault="00E00414">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单位名称</w:t>
            </w:r>
          </w:p>
        </w:tc>
        <w:tc>
          <w:tcPr>
            <w:tcW w:w="2445" w:type="dxa"/>
            <w:vAlign w:val="center"/>
          </w:tcPr>
          <w:p w:rsidR="00C37854" w:rsidRDefault="00E00414">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单位基本性质</w:t>
            </w:r>
          </w:p>
        </w:tc>
        <w:tc>
          <w:tcPr>
            <w:tcW w:w="2665" w:type="dxa"/>
            <w:vAlign w:val="center"/>
          </w:tcPr>
          <w:p w:rsidR="00C37854" w:rsidRDefault="00E00414">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经费形式</w:t>
            </w:r>
          </w:p>
        </w:tc>
      </w:tr>
      <w:tr w:rsidR="00C37854">
        <w:trPr>
          <w:trHeight w:val="596"/>
          <w:jc w:val="center"/>
        </w:trPr>
        <w:tc>
          <w:tcPr>
            <w:tcW w:w="985" w:type="dxa"/>
          </w:tcPr>
          <w:p w:rsidR="00C37854" w:rsidRDefault="00E00414">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1</w:t>
            </w:r>
          </w:p>
        </w:tc>
        <w:tc>
          <w:tcPr>
            <w:tcW w:w="3485" w:type="dxa"/>
          </w:tcPr>
          <w:p w:rsidR="00C37854" w:rsidRDefault="00E00414">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井陉县档案馆（中共井陉县委党史县志研究中心）(本级)</w:t>
            </w:r>
          </w:p>
        </w:tc>
        <w:tc>
          <w:tcPr>
            <w:tcW w:w="2445" w:type="dxa"/>
          </w:tcPr>
          <w:p w:rsidR="00C37854" w:rsidRDefault="00E00414">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参公事业单位</w:t>
            </w:r>
          </w:p>
        </w:tc>
        <w:tc>
          <w:tcPr>
            <w:tcW w:w="2665" w:type="dxa"/>
          </w:tcPr>
          <w:p w:rsidR="00C37854" w:rsidRDefault="00E00414">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财政拨款</w:t>
            </w:r>
          </w:p>
        </w:tc>
      </w:tr>
    </w:tbl>
    <w:p w:rsidR="00C37854" w:rsidRDefault="00E00414">
      <w:pPr>
        <w:rPr>
          <w:rFonts w:ascii="仿宋" w:eastAsia="仿宋" w:hAnsi="仿宋" w:cs="Times New Roman"/>
          <w:sz w:val="32"/>
          <w:szCs w:val="32"/>
        </w:rPr>
      </w:pPr>
      <w:r>
        <w:rPr>
          <w:rFonts w:ascii="仿宋" w:eastAsia="仿宋" w:hAnsi="仿宋" w:cs="Times New Roman" w:hint="eastAsia"/>
          <w:sz w:val="32"/>
          <w:szCs w:val="32"/>
        </w:rPr>
        <w:t>注：1、单位基本性质分为行政单位、参公事业单位、财政补助事业单位、经费自理事业单位四类。</w:t>
      </w:r>
    </w:p>
    <w:p w:rsidR="00C37854" w:rsidRDefault="00E00414">
      <w:pPr>
        <w:rPr>
          <w:rFonts w:ascii="仿宋" w:eastAsia="仿宋" w:hAnsi="仿宋" w:cs="Times New Roman"/>
          <w:sz w:val="32"/>
          <w:szCs w:val="32"/>
        </w:rPr>
      </w:pPr>
      <w:r>
        <w:rPr>
          <w:rFonts w:ascii="仿宋" w:eastAsia="仿宋" w:hAnsi="仿宋" w:cs="Times New Roman" w:hint="eastAsia"/>
          <w:sz w:val="32"/>
          <w:szCs w:val="32"/>
        </w:rPr>
        <w:t>2、经费形式分为财政拨款、财政性资金基本保证、财政性资金定额或定项补助、财政性资金零补助四类。</w:t>
      </w:r>
    </w:p>
    <w:p w:rsidR="00C37854" w:rsidRDefault="00E00414">
      <w:pPr>
        <w:rPr>
          <w:rFonts w:ascii="仿宋" w:eastAsia="仿宋" w:hAnsi="仿宋" w:cs="Times New Roman"/>
          <w:sz w:val="32"/>
          <w:szCs w:val="32"/>
        </w:rPr>
      </w:pPr>
      <w:r>
        <w:rPr>
          <w:rFonts w:ascii="仿宋" w:eastAsia="仿宋" w:hAnsi="仿宋" w:cs="Times New Roman" w:hint="eastAsia"/>
          <w:sz w:val="32"/>
          <w:szCs w:val="32"/>
        </w:rPr>
        <w:t xml:space="preserve"> </w:t>
      </w:r>
      <w:r>
        <w:rPr>
          <w:rFonts w:ascii="仿宋" w:eastAsia="仿宋" w:hAnsi="仿宋" w:cs="Times New Roman"/>
          <w:sz w:val="32"/>
          <w:szCs w:val="32"/>
        </w:rPr>
        <w:t xml:space="preserve">   </w:t>
      </w:r>
    </w:p>
    <w:p w:rsidR="00C37854" w:rsidRDefault="00C37854">
      <w:pPr>
        <w:rPr>
          <w:rFonts w:ascii="Times New Roman" w:eastAsia="黑体" w:hAnsi="Times New Roman" w:cs="Times New Roman"/>
          <w:sz w:val="32"/>
          <w:szCs w:val="32"/>
        </w:rPr>
      </w:pPr>
    </w:p>
    <w:p w:rsidR="00C37854" w:rsidRDefault="00C37854">
      <w:pPr>
        <w:rPr>
          <w:rFonts w:ascii="Times New Roman" w:eastAsia="黑体" w:hAnsi="Times New Roman" w:cs="Times New Roman"/>
          <w:sz w:val="32"/>
          <w:szCs w:val="32"/>
        </w:rPr>
      </w:pPr>
    </w:p>
    <w:p w:rsidR="00C37854" w:rsidRDefault="00C37854">
      <w:pPr>
        <w:rPr>
          <w:rFonts w:ascii="Times New Roman" w:eastAsia="黑体" w:hAnsi="Times New Roman" w:cs="Times New Roman"/>
          <w:sz w:val="32"/>
          <w:szCs w:val="32"/>
          <w:highlight w:val="yellow"/>
        </w:rPr>
      </w:pPr>
    </w:p>
    <w:p w:rsidR="00C37854" w:rsidRDefault="00C37854">
      <w:pPr>
        <w:widowControl/>
        <w:spacing w:line="360" w:lineRule="auto"/>
        <w:jc w:val="center"/>
        <w:outlineLvl w:val="0"/>
        <w:rPr>
          <w:rFonts w:ascii="Times New Roman" w:eastAsia="黑体"/>
          <w:sz w:val="44"/>
          <w:szCs w:val="44"/>
        </w:rPr>
      </w:pPr>
    </w:p>
    <w:p w:rsidR="00C37854" w:rsidRDefault="00C37854">
      <w:pPr>
        <w:widowControl/>
        <w:spacing w:line="360" w:lineRule="auto"/>
        <w:jc w:val="center"/>
        <w:outlineLvl w:val="0"/>
        <w:rPr>
          <w:rFonts w:ascii="Times New Roman" w:eastAsia="黑体"/>
          <w:sz w:val="44"/>
          <w:szCs w:val="44"/>
        </w:rPr>
      </w:pPr>
    </w:p>
    <w:p w:rsidR="00C37854" w:rsidRDefault="00E00414">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第二部分</w:t>
      </w:r>
      <w:r>
        <w:rPr>
          <w:rFonts w:ascii="Times New Roman" w:eastAsia="黑体" w:hint="eastAsia"/>
          <w:sz w:val="44"/>
          <w:szCs w:val="44"/>
        </w:rPr>
        <w:t xml:space="preserve"> </w:t>
      </w:r>
      <w:r>
        <w:rPr>
          <w:rFonts w:ascii="Times New Roman" w:eastAsia="仿宋_GB2312"/>
          <w:sz w:val="44"/>
          <w:szCs w:val="44"/>
        </w:rPr>
        <w:t>2024</w:t>
      </w:r>
      <w:r>
        <w:rPr>
          <w:rFonts w:ascii="Times New Roman" w:eastAsia="黑体"/>
          <w:sz w:val="44"/>
          <w:szCs w:val="44"/>
        </w:rPr>
        <w:t>年度部门决算表</w:t>
      </w:r>
    </w:p>
    <w:tbl>
      <w:tblPr>
        <w:tblW w:w="7250" w:type="pct"/>
        <w:tblInd w:w="-1817" w:type="dxa"/>
        <w:tblLayout w:type="fixed"/>
        <w:tblLook w:val="04A0" w:firstRow="1" w:lastRow="0" w:firstColumn="1" w:lastColumn="0" w:noHBand="0" w:noVBand="1"/>
      </w:tblPr>
      <w:tblGrid>
        <w:gridCol w:w="3343"/>
        <w:gridCol w:w="623"/>
        <w:gridCol w:w="613"/>
        <w:gridCol w:w="1317"/>
        <w:gridCol w:w="1625"/>
        <w:gridCol w:w="1548"/>
        <w:gridCol w:w="623"/>
        <w:gridCol w:w="1931"/>
        <w:gridCol w:w="35"/>
      </w:tblGrid>
      <w:tr w:rsidR="00C37854">
        <w:trPr>
          <w:gridAfter w:val="1"/>
          <w:wAfter w:w="14" w:type="pct"/>
          <w:trHeight w:val="361"/>
        </w:trPr>
        <w:tc>
          <w:tcPr>
            <w:tcW w:w="4985" w:type="pct"/>
            <w:gridSpan w:val="8"/>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t>收入支出决算总表</w:t>
            </w:r>
          </w:p>
        </w:tc>
      </w:tr>
      <w:tr w:rsidR="00C37854">
        <w:trPr>
          <w:gridAfter w:val="1"/>
          <w:wAfter w:w="14" w:type="pct"/>
          <w:trHeight w:val="357"/>
        </w:trPr>
        <w:tc>
          <w:tcPr>
            <w:tcW w:w="4985" w:type="pct"/>
            <w:gridSpan w:val="8"/>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 xml:space="preserve"> 公开</w:t>
            </w:r>
            <w:r>
              <w:rPr>
                <w:rFonts w:ascii="Times New Roman" w:eastAsia="宋体" w:hAnsi="Times New Roman" w:cs="Times New Roman" w:hint="eastAsia"/>
                <w:color w:val="000000"/>
                <w:sz w:val="20"/>
                <w:szCs w:val="20"/>
              </w:rPr>
              <w:t>01</w:t>
            </w:r>
            <w:r>
              <w:rPr>
                <w:rFonts w:ascii="方正仿宋_GB2312" w:eastAsia="方正仿宋_GB2312" w:hAnsi="方正仿宋_GB2312" w:cs="方正仿宋_GB2312" w:hint="eastAsia"/>
                <w:color w:val="000000"/>
                <w:sz w:val="20"/>
                <w:szCs w:val="20"/>
              </w:rPr>
              <w:t>表</w:t>
            </w:r>
          </w:p>
        </w:tc>
      </w:tr>
      <w:tr w:rsidR="00C37854">
        <w:trPr>
          <w:gridAfter w:val="1"/>
          <w:wAfter w:w="14" w:type="pct"/>
          <w:trHeight w:val="351"/>
        </w:trPr>
        <w:tc>
          <w:tcPr>
            <w:tcW w:w="1964" w:type="pct"/>
            <w:gridSpan w:val="3"/>
            <w:tcBorders>
              <w:top w:val="nil"/>
              <w:left w:val="nil"/>
              <w:bottom w:val="single" w:sz="4" w:space="0" w:color="auto"/>
              <w:right w:val="nil"/>
            </w:tcBorders>
            <w:noWrap/>
            <w:vAlign w:val="bottom"/>
          </w:tcPr>
          <w:p w:rsidR="00C37854" w:rsidRDefault="00E00414">
            <w:pP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部门（单位）：井陉县档案馆（中共井陉县委党史县志研究中心）</w:t>
            </w:r>
          </w:p>
        </w:tc>
        <w:tc>
          <w:tcPr>
            <w:tcW w:w="1262" w:type="pct"/>
            <w:gridSpan w:val="2"/>
            <w:tcBorders>
              <w:top w:val="nil"/>
              <w:left w:val="nil"/>
              <w:bottom w:val="single" w:sz="4" w:space="0" w:color="auto"/>
              <w:right w:val="nil"/>
            </w:tcBorders>
            <w:noWrap/>
            <w:vAlign w:val="bottom"/>
          </w:tcPr>
          <w:p w:rsidR="00C37854" w:rsidRDefault="00E00414">
            <w:pPr>
              <w:jc w:val="center"/>
              <w:rPr>
                <w:rFonts w:ascii="宋体" w:eastAsia="宋体" w:hAnsi="宋体"/>
                <w:color w:val="000000"/>
                <w:sz w:val="20"/>
                <w:szCs w:val="20"/>
              </w:rPr>
            </w:pPr>
            <w:r>
              <w:rPr>
                <w:rFonts w:ascii="Times New Roman" w:eastAsia="宋体" w:hAnsi="Times New Roman" w:cs="Times New Roman" w:hint="eastAsia"/>
                <w:color w:val="000000"/>
                <w:sz w:val="20"/>
                <w:szCs w:val="20"/>
              </w:rPr>
              <w:t>2024</w:t>
            </w:r>
            <w:r>
              <w:rPr>
                <w:rFonts w:ascii="方正仿宋_GB2312" w:eastAsia="方正仿宋_GB2312" w:hAnsi="方正仿宋_GB2312" w:cs="方正仿宋_GB2312" w:hint="eastAsia"/>
                <w:color w:val="000000"/>
                <w:sz w:val="20"/>
                <w:szCs w:val="20"/>
              </w:rPr>
              <w:t>年度</w:t>
            </w:r>
          </w:p>
        </w:tc>
        <w:tc>
          <w:tcPr>
            <w:tcW w:w="1757" w:type="pct"/>
            <w:gridSpan w:val="3"/>
            <w:tcBorders>
              <w:top w:val="nil"/>
              <w:left w:val="nil"/>
              <w:bottom w:val="single" w:sz="4" w:space="0" w:color="auto"/>
              <w:right w:val="nil"/>
            </w:tcBorders>
            <w:noWrap/>
            <w:vAlign w:val="bottom"/>
          </w:tcPr>
          <w:p w:rsidR="00C37854" w:rsidRDefault="00E00414">
            <w:pPr>
              <w:jc w:val="right"/>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gridAfter w:val="1"/>
          <w:wAfter w:w="14" w:type="pct"/>
          <w:trHeight w:val="544"/>
        </w:trPr>
        <w:tc>
          <w:tcPr>
            <w:tcW w:w="2529" w:type="pct"/>
            <w:gridSpan w:val="4"/>
            <w:tcBorders>
              <w:top w:val="single" w:sz="4" w:space="0" w:color="auto"/>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收入</w:t>
            </w:r>
          </w:p>
        </w:tc>
        <w:tc>
          <w:tcPr>
            <w:tcW w:w="2456" w:type="pct"/>
            <w:gridSpan w:val="4"/>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支出</w:t>
            </w:r>
          </w:p>
        </w:tc>
      </w:tr>
      <w:tr w:rsidR="00C37854">
        <w:trPr>
          <w:gridAfter w:val="1"/>
          <w:wAfter w:w="14" w:type="pct"/>
          <w:trHeight w:val="308"/>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项目</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行次</w:t>
            </w:r>
          </w:p>
        </w:tc>
        <w:tc>
          <w:tcPr>
            <w:tcW w:w="826"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决算数</w:t>
            </w: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项目</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行次</w:t>
            </w:r>
          </w:p>
        </w:tc>
        <w:tc>
          <w:tcPr>
            <w:tcW w:w="82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决算数</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栏次</w:t>
            </w:r>
          </w:p>
        </w:tc>
        <w:tc>
          <w:tcPr>
            <w:tcW w:w="267" w:type="pct"/>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826"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Times New Roman" w:eastAsia="宋体" w:hAnsi="Times New Roman" w:cs="Times New Roman" w:hint="eastAsia"/>
                <w:color w:val="000000"/>
                <w:sz w:val="20"/>
                <w:szCs w:val="20"/>
              </w:rPr>
              <w:t>1</w:t>
            </w: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栏次</w:t>
            </w:r>
          </w:p>
        </w:tc>
        <w:tc>
          <w:tcPr>
            <w:tcW w:w="267" w:type="pct"/>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82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Times New Roman" w:eastAsia="宋体" w:hAnsi="Times New Roman" w:cs="Times New Roman" w:hint="eastAsia"/>
                <w:color w:val="000000"/>
                <w:sz w:val="20"/>
                <w:szCs w:val="20"/>
              </w:rPr>
              <w:t>2</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一、一般公共预算财政拨款收入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宋体" w:eastAsia="宋体" w:hAnsi="宋体"/>
                <w:color w:val="000000"/>
                <w:sz w:val="20"/>
                <w:szCs w:val="20"/>
              </w:rPr>
              <w:t>1</w:t>
            </w:r>
          </w:p>
        </w:tc>
        <w:tc>
          <w:tcPr>
            <w:tcW w:w="826"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一、一般公共服务支出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32</w:t>
            </w:r>
          </w:p>
        </w:tc>
        <w:tc>
          <w:tcPr>
            <w:tcW w:w="826"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163.93</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二、政府性基金预算财政拨款收入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二、外交支出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33</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三、国有资本经营预算财政拨款收入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三、国防支出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34</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四、上级补助收入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四、公共安全支出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35</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五、事业收入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五、教育支出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六、经营收入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六、科学技术支出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37</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七、附属单位上缴收入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七、文化旅游体育与传媒支出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八、其他收入</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八、社会保障和就业支出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39</w:t>
            </w:r>
          </w:p>
        </w:tc>
        <w:tc>
          <w:tcPr>
            <w:tcW w:w="826"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38.52</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九、卫生健康支出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w:t>
            </w:r>
          </w:p>
        </w:tc>
        <w:tc>
          <w:tcPr>
            <w:tcW w:w="826"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5.15</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十、节能环保支出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41</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十一、城乡社区支出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42</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十二、农林水支出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43</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十三、交通运输支出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44</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auto"/>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auto"/>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w:t>
            </w:r>
          </w:p>
        </w:tc>
        <w:tc>
          <w:tcPr>
            <w:tcW w:w="826" w:type="pct"/>
            <w:gridSpan w:val="2"/>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auto"/>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十四、资源勘探工业信息等支出</w:t>
            </w:r>
          </w:p>
        </w:tc>
        <w:tc>
          <w:tcPr>
            <w:tcW w:w="267" w:type="pct"/>
            <w:tcBorders>
              <w:top w:val="nil"/>
              <w:left w:val="nil"/>
              <w:bottom w:val="single" w:sz="4" w:space="0" w:color="auto"/>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w:t>
            </w:r>
          </w:p>
        </w:tc>
        <w:tc>
          <w:tcPr>
            <w:tcW w:w="826" w:type="pct"/>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十五、商业服务业等支出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46</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十六、金融支出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47</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十七、援助其他地区支出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十八、自然资源海洋气象等支出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49</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19</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十九、住房保障支出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8.75</w:t>
            </w:r>
          </w:p>
        </w:tc>
      </w:tr>
      <w:tr w:rsidR="00C37854">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二十、粮油物资储备支出</w:t>
            </w:r>
          </w:p>
        </w:tc>
        <w:tc>
          <w:tcPr>
            <w:tcW w:w="267"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w:t>
            </w:r>
          </w:p>
        </w:tc>
        <w:tc>
          <w:tcPr>
            <w:tcW w:w="826"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single" w:sz="4" w:space="0" w:color="auto"/>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w:t>
            </w:r>
          </w:p>
        </w:tc>
        <w:tc>
          <w:tcPr>
            <w:tcW w:w="826" w:type="pct"/>
            <w:gridSpan w:val="2"/>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single" w:sz="4" w:space="0" w:color="auto"/>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二十一、国有资本经营预算支出</w:t>
            </w:r>
          </w:p>
        </w:tc>
        <w:tc>
          <w:tcPr>
            <w:tcW w:w="267" w:type="pct"/>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52</w:t>
            </w:r>
          </w:p>
        </w:tc>
        <w:tc>
          <w:tcPr>
            <w:tcW w:w="826" w:type="pct"/>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二十二、灾害防治及应急管理支出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二十三、其他支出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24</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二十四、债务还本支出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55</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二十五、债务付息支出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56</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26</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二十六、抗疫特别国债安排的支出</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57</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本年收入合计</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27</w:t>
            </w:r>
          </w:p>
        </w:tc>
        <w:tc>
          <w:tcPr>
            <w:tcW w:w="826"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本年支出合计</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58</w:t>
            </w:r>
          </w:p>
        </w:tc>
        <w:tc>
          <w:tcPr>
            <w:tcW w:w="826"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使用非财政拨款结余（含专用结余）</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结余分配</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59</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年初结转和结余</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年末结转和结余</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rsidR="00C37854" w:rsidRDefault="00C37854">
            <w:pPr>
              <w:widowControl/>
              <w:jc w:val="center"/>
              <w:textAlignment w:val="center"/>
              <w:rPr>
                <w:rFonts w:ascii="方正仿宋_GB2312" w:eastAsia="方正仿宋_GB2312" w:hAnsi="方正仿宋_GB2312" w:cs="方正仿宋_GB2312"/>
                <w:b/>
                <w:bCs/>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w:t>
            </w:r>
          </w:p>
        </w:tc>
        <w:tc>
          <w:tcPr>
            <w:tcW w:w="826"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rsidR="00C37854" w:rsidRDefault="00C37854">
            <w:pPr>
              <w:widowControl/>
              <w:jc w:val="center"/>
              <w:textAlignment w:val="center"/>
              <w:rPr>
                <w:rFonts w:ascii="方正仿宋_GB2312" w:eastAsia="方正仿宋_GB2312" w:hAnsi="方正仿宋_GB2312" w:cs="方正仿宋_GB2312"/>
                <w:b/>
                <w:bCs/>
                <w:color w:val="000000"/>
                <w:sz w:val="20"/>
                <w:szCs w:val="20"/>
              </w:rPr>
            </w:pP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61</w:t>
            </w:r>
          </w:p>
        </w:tc>
        <w:tc>
          <w:tcPr>
            <w:tcW w:w="82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gridAfter w:val="1"/>
          <w:wAfter w:w="14" w:type="pct"/>
          <w:trHeight w:val="308"/>
        </w:trPr>
        <w:tc>
          <w:tcPr>
            <w:tcW w:w="1434"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w:t>
            </w:r>
          </w:p>
        </w:tc>
        <w:tc>
          <w:tcPr>
            <w:tcW w:w="826"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1361"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6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62</w:t>
            </w:r>
          </w:p>
        </w:tc>
        <w:tc>
          <w:tcPr>
            <w:tcW w:w="826"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r>
      <w:tr w:rsidR="00C37854">
        <w:trPr>
          <w:trHeight w:val="308"/>
        </w:trPr>
        <w:tc>
          <w:tcPr>
            <w:tcW w:w="5000" w:type="pct"/>
            <w:gridSpan w:val="9"/>
            <w:tcBorders>
              <w:top w:val="nil"/>
              <w:left w:val="nil"/>
              <w:bottom w:val="nil"/>
              <w:right w:val="nil"/>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注：1.本表反映部门本年度的总收支和年末结转结余情况。</w:t>
            </w:r>
          </w:p>
          <w:p w:rsidR="00C37854" w:rsidRDefault="00E00414">
            <w:pPr>
              <w:widowControl/>
              <w:ind w:firstLineChars="200" w:firstLine="400"/>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2.本套报表金额转换时可能存在尾数误差。</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9230" w:type="dxa"/>
        <w:jc w:val="center"/>
        <w:tblLayout w:type="fixed"/>
        <w:tblLook w:val="04A0" w:firstRow="1" w:lastRow="0" w:firstColumn="1" w:lastColumn="0" w:noHBand="0" w:noVBand="1"/>
      </w:tblPr>
      <w:tblGrid>
        <w:gridCol w:w="1040"/>
        <w:gridCol w:w="1160"/>
        <w:gridCol w:w="1037"/>
        <w:gridCol w:w="1037"/>
        <w:gridCol w:w="1037"/>
        <w:gridCol w:w="964"/>
        <w:gridCol w:w="367"/>
        <w:gridCol w:w="597"/>
        <w:gridCol w:w="1027"/>
        <w:gridCol w:w="964"/>
      </w:tblGrid>
      <w:tr w:rsidR="00C37854">
        <w:trPr>
          <w:trHeight w:val="550"/>
          <w:jc w:val="center"/>
        </w:trPr>
        <w:tc>
          <w:tcPr>
            <w:tcW w:w="9230" w:type="dxa"/>
            <w:gridSpan w:val="10"/>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收入决算表</w:t>
            </w:r>
          </w:p>
        </w:tc>
      </w:tr>
      <w:tr w:rsidR="00C37854">
        <w:trPr>
          <w:trHeight w:val="300"/>
          <w:jc w:val="center"/>
        </w:trPr>
        <w:tc>
          <w:tcPr>
            <w:tcW w:w="9230" w:type="dxa"/>
            <w:gridSpan w:val="10"/>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宋体" w:hAnsi="Times New Roman" w:cs="Times New Roman" w:hint="eastAsia"/>
                <w:color w:val="000000"/>
                <w:sz w:val="20"/>
                <w:szCs w:val="20"/>
              </w:rPr>
              <w:t>02</w:t>
            </w:r>
            <w:r>
              <w:rPr>
                <w:rFonts w:ascii="方正仿宋_GB2312" w:eastAsia="方正仿宋_GB2312" w:hAnsi="方正仿宋_GB2312" w:cs="方正仿宋_GB2312" w:hint="eastAsia"/>
                <w:color w:val="000000"/>
                <w:sz w:val="20"/>
                <w:szCs w:val="20"/>
              </w:rPr>
              <w:t>表</w:t>
            </w:r>
          </w:p>
        </w:tc>
      </w:tr>
      <w:tr w:rsidR="00C37854">
        <w:trPr>
          <w:trHeight w:val="300"/>
          <w:jc w:val="center"/>
        </w:trPr>
        <w:tc>
          <w:tcPr>
            <w:tcW w:w="3237" w:type="dxa"/>
            <w:gridSpan w:val="3"/>
            <w:tcBorders>
              <w:top w:val="nil"/>
              <w:left w:val="nil"/>
              <w:bottom w:val="single" w:sz="4" w:space="0" w:color="auto"/>
              <w:right w:val="nil"/>
            </w:tcBorders>
            <w:noWrap/>
            <w:vAlign w:val="bottom"/>
          </w:tcPr>
          <w:p w:rsidR="00C37854" w:rsidRDefault="00E00414">
            <w:pP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 xml:space="preserve">部门（单位）：井陉县档案馆（中共井陉县委党史县志研究中心）                                                                                                         </w:t>
            </w:r>
          </w:p>
        </w:tc>
        <w:tc>
          <w:tcPr>
            <w:tcW w:w="3405" w:type="dxa"/>
            <w:gridSpan w:val="4"/>
            <w:tcBorders>
              <w:top w:val="nil"/>
              <w:left w:val="nil"/>
              <w:bottom w:val="single" w:sz="4" w:space="0" w:color="auto"/>
              <w:right w:val="nil"/>
            </w:tcBorders>
            <w:noWrap/>
            <w:vAlign w:val="bottom"/>
          </w:tcPr>
          <w:p w:rsidR="00C37854" w:rsidRDefault="00E00414">
            <w:pPr>
              <w:jc w:val="center"/>
              <w:rPr>
                <w:rFonts w:ascii="方正仿宋_GB2312" w:eastAsia="方正仿宋_GB2312" w:hAnsi="方正仿宋_GB2312" w:cs="方正仿宋_GB2312"/>
                <w:color w:val="000000"/>
                <w:sz w:val="20"/>
                <w:szCs w:val="20"/>
              </w:rPr>
            </w:pPr>
            <w:r>
              <w:rPr>
                <w:rFonts w:ascii="Times New Roman" w:eastAsia="方正仿宋_GB2312" w:hAnsi="Times New Roman" w:cs="Times New Roman"/>
                <w:color w:val="000000"/>
                <w:sz w:val="20"/>
                <w:szCs w:val="20"/>
              </w:rPr>
              <w:t>202</w:t>
            </w:r>
            <w:r>
              <w:rPr>
                <w:rFonts w:ascii="Times New Roman" w:eastAsia="方正仿宋_GB2312"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2588" w:type="dxa"/>
            <w:gridSpan w:val="3"/>
            <w:tcBorders>
              <w:top w:val="nil"/>
              <w:left w:val="nil"/>
              <w:bottom w:val="single" w:sz="4" w:space="0" w:color="auto"/>
              <w:right w:val="nil"/>
            </w:tcBorders>
            <w:noWrap/>
            <w:vAlign w:val="bottom"/>
          </w:tcPr>
          <w:p w:rsidR="00C37854" w:rsidRDefault="00E00414">
            <w:pPr>
              <w:jc w:val="righ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trHeight w:val="510"/>
          <w:jc w:val="center"/>
        </w:trPr>
        <w:tc>
          <w:tcPr>
            <w:tcW w:w="2200" w:type="dxa"/>
            <w:gridSpan w:val="2"/>
            <w:tcBorders>
              <w:top w:val="single" w:sz="4" w:space="0" w:color="auto"/>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1037" w:type="dxa"/>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本年收入合计</w:t>
            </w:r>
          </w:p>
        </w:tc>
        <w:tc>
          <w:tcPr>
            <w:tcW w:w="1037" w:type="dxa"/>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财政拨款收入</w:t>
            </w:r>
          </w:p>
        </w:tc>
        <w:tc>
          <w:tcPr>
            <w:tcW w:w="1037" w:type="dxa"/>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上级补助收入</w:t>
            </w:r>
          </w:p>
        </w:tc>
        <w:tc>
          <w:tcPr>
            <w:tcW w:w="964" w:type="dxa"/>
            <w:vMerge w:val="restart"/>
            <w:tcBorders>
              <w:top w:val="single" w:sz="4" w:space="0" w:color="auto"/>
              <w:left w:val="nil"/>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事业收入</w:t>
            </w:r>
          </w:p>
        </w:tc>
        <w:tc>
          <w:tcPr>
            <w:tcW w:w="964" w:type="dxa"/>
            <w:gridSpan w:val="2"/>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经营收入</w:t>
            </w:r>
          </w:p>
        </w:tc>
        <w:tc>
          <w:tcPr>
            <w:tcW w:w="1027" w:type="dxa"/>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附属单位上缴收入</w:t>
            </w:r>
          </w:p>
        </w:tc>
        <w:tc>
          <w:tcPr>
            <w:tcW w:w="964" w:type="dxa"/>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其他收入</w:t>
            </w:r>
          </w:p>
        </w:tc>
      </w:tr>
      <w:tr w:rsidR="00C37854">
        <w:trPr>
          <w:trHeight w:val="312"/>
          <w:jc w:val="center"/>
        </w:trPr>
        <w:tc>
          <w:tcPr>
            <w:tcW w:w="1040" w:type="dxa"/>
            <w:vMerge w:val="restart"/>
            <w:tcBorders>
              <w:top w:val="nil"/>
              <w:left w:val="single" w:sz="4" w:space="0" w:color="000000"/>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1160" w:type="dxa"/>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left w:val="nil"/>
              <w:right w:val="single" w:sz="4" w:space="0" w:color="000000"/>
            </w:tcBorders>
            <w:vAlign w:val="center"/>
          </w:tcPr>
          <w:p w:rsidR="00C37854" w:rsidRDefault="00C37854">
            <w:pPr>
              <w:widowControl/>
              <w:jc w:val="center"/>
              <w:textAlignment w:val="center"/>
              <w:rPr>
                <w:rFonts w:ascii="宋体" w:eastAsia="宋体" w:hAnsi="宋体"/>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1160" w:type="dxa"/>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left w:val="nil"/>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1160" w:type="dxa"/>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454"/>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1037"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1</w:t>
            </w:r>
          </w:p>
        </w:tc>
        <w:tc>
          <w:tcPr>
            <w:tcW w:w="1037"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2</w:t>
            </w:r>
          </w:p>
        </w:tc>
        <w:tc>
          <w:tcPr>
            <w:tcW w:w="1037"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3</w:t>
            </w:r>
          </w:p>
        </w:tc>
        <w:tc>
          <w:tcPr>
            <w:tcW w:w="964"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4</w:t>
            </w:r>
          </w:p>
        </w:tc>
        <w:tc>
          <w:tcPr>
            <w:tcW w:w="964" w:type="dxa"/>
            <w:gridSpan w:val="2"/>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5</w:t>
            </w:r>
          </w:p>
        </w:tc>
        <w:tc>
          <w:tcPr>
            <w:tcW w:w="1027"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6</w:t>
            </w:r>
          </w:p>
        </w:tc>
        <w:tc>
          <w:tcPr>
            <w:tcW w:w="964" w:type="dxa"/>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7</w:t>
            </w:r>
          </w:p>
        </w:tc>
      </w:tr>
      <w:tr w:rsidR="00C37854">
        <w:trPr>
          <w:trHeight w:val="567"/>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216.35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216.35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一般公共服务支出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20126</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档案事务</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2012604</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档案馆</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163.93</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社会保障和就业支出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38.52</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38.52</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行政事业单位养老支出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36.16</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36.16</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2080501</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行政单位离退休</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spacing w:val="-2"/>
                <w:sz w:val="20"/>
                <w:szCs w:val="20"/>
              </w:rPr>
              <w:t>0</w:t>
            </w:r>
            <w:r>
              <w:rPr>
                <w:rFonts w:ascii="Times New Roman" w:eastAsia="宋体" w:hAnsi="Times New Roman" w:cs="Times New Roman"/>
                <w:spacing w:val="-2"/>
                <w:sz w:val="20"/>
                <w:szCs w:val="20"/>
              </w:rPr>
              <w:t>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spacing w:val="-2"/>
                <w:sz w:val="20"/>
                <w:szCs w:val="20"/>
              </w:rPr>
              <w:t>0</w:t>
            </w:r>
            <w:r>
              <w:rPr>
                <w:rFonts w:ascii="Times New Roman" w:eastAsia="宋体" w:hAnsi="Times New Roman" w:cs="Times New Roman"/>
                <w:spacing w:val="-2"/>
                <w:sz w:val="20"/>
                <w:szCs w:val="20"/>
              </w:rPr>
              <w:t>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2080502</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事业单位离退休</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25.21</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25.21</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2080505</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机关事业单位基本养老保险缴费支出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10.90</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10.90</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20899</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其他社会保障和就业支出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2.36</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2.36</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2089999</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其他社会保障和就业支出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2.36</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2.36</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210</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卫生健康支出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21011</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行政事业单位医疗</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2101102</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事业单位医疗</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5.15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lastRenderedPageBreak/>
              <w:t>221</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住房保障支出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22102</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住房改革支出</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2210201</w:t>
            </w:r>
          </w:p>
        </w:tc>
        <w:tc>
          <w:tcPr>
            <w:tcW w:w="1160" w:type="dxa"/>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住房公积金</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8.75</w:t>
            </w:r>
          </w:p>
        </w:tc>
        <w:tc>
          <w:tcPr>
            <w:tcW w:w="103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9230" w:type="dxa"/>
            <w:gridSpan w:val="10"/>
            <w:tcBorders>
              <w:top w:val="nil"/>
              <w:left w:val="nil"/>
              <w:bottom w:val="nil"/>
              <w:right w:val="nil"/>
            </w:tcBorders>
            <w:noWrap/>
            <w:vAlign w:val="center"/>
          </w:tcPr>
          <w:p w:rsidR="00C37854" w:rsidRDefault="00E00414">
            <w:pPr>
              <w:widowControl/>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注：本表反映部门本年度取得的各项收入情况。</w:t>
            </w:r>
          </w:p>
        </w:tc>
      </w:tr>
    </w:tbl>
    <w:p w:rsidR="00C37854" w:rsidRDefault="00C37854">
      <w:pPr>
        <w:rPr>
          <w:rFonts w:ascii="仿宋_GB2312" w:eastAsia="仿宋_GB2312" w:hAnsi="宋体"/>
          <w:b/>
          <w:sz w:val="32"/>
          <w:szCs w:val="32"/>
        </w:rPr>
      </w:pPr>
    </w:p>
    <w:p w:rsidR="00C37854" w:rsidRDefault="00E00414">
      <w:pPr>
        <w:rPr>
          <w:rFonts w:ascii="黑体" w:eastAsia="黑体" w:hAnsi="黑体"/>
          <w:bCs/>
          <w:sz w:val="32"/>
          <w:szCs w:val="32"/>
        </w:rPr>
      </w:pPr>
      <w:r>
        <w:rPr>
          <w:rFonts w:ascii="仿宋_GB2312" w:eastAsia="仿宋_GB2312" w:hAnsi="宋体" w:hint="eastAsia"/>
          <w:b/>
          <w:sz w:val="32"/>
          <w:szCs w:val="32"/>
        </w:rPr>
        <w:br w:type="page"/>
      </w:r>
    </w:p>
    <w:tbl>
      <w:tblPr>
        <w:tblW w:w="5812" w:type="pct"/>
        <w:jc w:val="center"/>
        <w:tblLayout w:type="fixed"/>
        <w:tblLook w:val="04A0" w:firstRow="1" w:lastRow="0" w:firstColumn="1" w:lastColumn="0" w:noHBand="0" w:noVBand="1"/>
      </w:tblPr>
      <w:tblGrid>
        <w:gridCol w:w="1040"/>
        <w:gridCol w:w="1187"/>
        <w:gridCol w:w="1127"/>
        <w:gridCol w:w="127"/>
        <w:gridCol w:w="998"/>
        <w:gridCol w:w="1125"/>
        <w:gridCol w:w="499"/>
        <w:gridCol w:w="626"/>
        <w:gridCol w:w="1125"/>
        <w:gridCol w:w="1492"/>
      </w:tblGrid>
      <w:tr w:rsidR="00C37854">
        <w:trPr>
          <w:trHeight w:val="550"/>
          <w:jc w:val="center"/>
        </w:trPr>
        <w:tc>
          <w:tcPr>
            <w:tcW w:w="5000" w:type="pct"/>
            <w:gridSpan w:val="10"/>
            <w:tcBorders>
              <w:top w:val="nil"/>
              <w:left w:val="nil"/>
              <w:bottom w:val="nil"/>
              <w:right w:val="nil"/>
            </w:tcBorders>
            <w:noWrap/>
            <w:vAlign w:val="bottom"/>
          </w:tcPr>
          <w:p w:rsidR="00C37854" w:rsidRDefault="00E00414">
            <w:pPr>
              <w:jc w:val="center"/>
              <w:outlineLvl w:val="1"/>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br w:type="page"/>
              <w:t>支出决算表</w:t>
            </w:r>
          </w:p>
        </w:tc>
      </w:tr>
      <w:tr w:rsidR="00C37854">
        <w:trPr>
          <w:trHeight w:val="300"/>
          <w:jc w:val="center"/>
        </w:trPr>
        <w:tc>
          <w:tcPr>
            <w:tcW w:w="5000" w:type="pct"/>
            <w:gridSpan w:val="10"/>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宋体" w:hAnsi="Times New Roman" w:cs="Times New Roman"/>
                <w:color w:val="000000"/>
                <w:sz w:val="20"/>
                <w:szCs w:val="20"/>
              </w:rPr>
              <w:t>03</w:t>
            </w:r>
            <w:r>
              <w:rPr>
                <w:rFonts w:ascii="方正仿宋_GB2312" w:eastAsia="方正仿宋_GB2312" w:hAnsi="方正仿宋_GB2312" w:cs="方正仿宋_GB2312" w:hint="eastAsia"/>
                <w:color w:val="000000"/>
                <w:sz w:val="20"/>
                <w:szCs w:val="20"/>
              </w:rPr>
              <w:t>表</w:t>
            </w:r>
          </w:p>
        </w:tc>
      </w:tr>
      <w:tr w:rsidR="00C37854">
        <w:trPr>
          <w:trHeight w:val="300"/>
          <w:jc w:val="center"/>
        </w:trPr>
        <w:tc>
          <w:tcPr>
            <w:tcW w:w="1862" w:type="pct"/>
            <w:gridSpan w:val="4"/>
            <w:tcBorders>
              <w:top w:val="nil"/>
              <w:left w:val="nil"/>
              <w:bottom w:val="single" w:sz="4" w:space="0" w:color="auto"/>
              <w:right w:val="nil"/>
            </w:tcBorders>
            <w:noWrap/>
            <w:vAlign w:val="bottom"/>
          </w:tcPr>
          <w:p w:rsidR="00C37854" w:rsidRDefault="00E00414">
            <w:pPr>
              <w:widowControl/>
              <w:jc w:val="lef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 xml:space="preserve">部门（单位）：井陉县档案馆（中共井陉县委党史县志研究中心） </w:t>
            </w:r>
            <w:r>
              <w:rPr>
                <w:rFonts w:asciiTheme="minorEastAsia" w:hAnsiTheme="minorEastAsia" w:cstheme="minorEastAsia" w:hint="eastAsia"/>
                <w:color w:val="000000"/>
                <w:sz w:val="20"/>
                <w:szCs w:val="20"/>
              </w:rPr>
              <w:t xml:space="preserve">                                                                                                         </w:t>
            </w:r>
          </w:p>
        </w:tc>
        <w:tc>
          <w:tcPr>
            <w:tcW w:w="1403" w:type="pct"/>
            <w:gridSpan w:val="3"/>
            <w:tcBorders>
              <w:top w:val="nil"/>
              <w:left w:val="nil"/>
              <w:bottom w:val="single" w:sz="4" w:space="0" w:color="auto"/>
              <w:right w:val="nil"/>
            </w:tcBorders>
            <w:noWrap/>
            <w:vAlign w:val="bottom"/>
          </w:tcPr>
          <w:p w:rsidR="00C37854" w:rsidRDefault="00E00414">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ascii="Times New Roman"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1734" w:type="pct"/>
            <w:gridSpan w:val="3"/>
            <w:tcBorders>
              <w:top w:val="nil"/>
              <w:left w:val="nil"/>
              <w:bottom w:val="single" w:sz="4" w:space="0" w:color="auto"/>
              <w:right w:val="nil"/>
            </w:tcBorders>
            <w:noWrap/>
            <w:vAlign w:val="bottom"/>
          </w:tcPr>
          <w:p w:rsidR="00C37854" w:rsidRDefault="00E00414">
            <w:pPr>
              <w:widowControl/>
              <w:jc w:val="right"/>
              <w:textAlignment w:val="bottom"/>
              <w:rPr>
                <w:rFonts w:asciiTheme="minorEastAsia" w:hAnsiTheme="minorEastAsia" w:cstheme="minorEastAsia"/>
                <w:color w:val="000000"/>
                <w:sz w:val="20"/>
                <w:szCs w:val="20"/>
              </w:rPr>
            </w:pPr>
            <w:r>
              <w:rPr>
                <w:rFonts w:ascii="方正仿宋_GB2312" w:eastAsia="方正仿宋_GB2312" w:hAnsi="方正仿宋_GB2312" w:cs="方正仿宋_GB2312" w:hint="eastAsia"/>
                <w:color w:val="000000"/>
                <w:sz w:val="20"/>
                <w:szCs w:val="20"/>
              </w:rPr>
              <w:t xml:space="preserve"> 金额单位：万元</w:t>
            </w:r>
          </w:p>
        </w:tc>
      </w:tr>
      <w:tr w:rsidR="00C37854">
        <w:trPr>
          <w:trHeight w:val="510"/>
          <w:jc w:val="center"/>
        </w:trPr>
        <w:tc>
          <w:tcPr>
            <w:tcW w:w="1191" w:type="pct"/>
            <w:gridSpan w:val="2"/>
            <w:tcBorders>
              <w:top w:val="single" w:sz="4" w:space="0" w:color="auto"/>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603"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本年支出合计</w:t>
            </w:r>
          </w:p>
        </w:tc>
        <w:tc>
          <w:tcPr>
            <w:tcW w:w="602" w:type="pct"/>
            <w:gridSpan w:val="2"/>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602"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c>
          <w:tcPr>
            <w:tcW w:w="602" w:type="pct"/>
            <w:gridSpan w:val="2"/>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上缴上级支出</w:t>
            </w:r>
          </w:p>
        </w:tc>
        <w:tc>
          <w:tcPr>
            <w:tcW w:w="602"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经营支出</w:t>
            </w:r>
          </w:p>
        </w:tc>
        <w:tc>
          <w:tcPr>
            <w:tcW w:w="795"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对附属单位补助支出</w:t>
            </w:r>
          </w:p>
        </w:tc>
      </w:tr>
      <w:tr w:rsidR="00C37854">
        <w:trPr>
          <w:trHeight w:val="312"/>
          <w:jc w:val="center"/>
        </w:trPr>
        <w:tc>
          <w:tcPr>
            <w:tcW w:w="556" w:type="pct"/>
            <w:vMerge w:val="restart"/>
            <w:tcBorders>
              <w:top w:val="nil"/>
              <w:left w:val="single" w:sz="4" w:space="0" w:color="000000"/>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635"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60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312"/>
          <w:jc w:val="center"/>
        </w:trPr>
        <w:tc>
          <w:tcPr>
            <w:tcW w:w="556" w:type="pct"/>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35" w:type="pct"/>
            <w:vMerge/>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60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312"/>
          <w:jc w:val="center"/>
        </w:trPr>
        <w:tc>
          <w:tcPr>
            <w:tcW w:w="556" w:type="pct"/>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35" w:type="pct"/>
            <w:vMerge/>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60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宋体" w:eastAsia="宋体" w:hAnsi="宋体"/>
                <w:color w:val="000000"/>
                <w:sz w:val="20"/>
                <w:szCs w:val="20"/>
              </w:rPr>
            </w:pPr>
          </w:p>
        </w:tc>
      </w:tr>
      <w:tr w:rsidR="00C37854">
        <w:trPr>
          <w:trHeight w:val="454"/>
          <w:jc w:val="center"/>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603" w:type="pc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w:t>
            </w:r>
          </w:p>
        </w:tc>
        <w:tc>
          <w:tcPr>
            <w:tcW w:w="602" w:type="pct"/>
            <w:gridSpan w:val="2"/>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w:t>
            </w:r>
          </w:p>
        </w:tc>
        <w:tc>
          <w:tcPr>
            <w:tcW w:w="602" w:type="pc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w:t>
            </w:r>
          </w:p>
        </w:tc>
        <w:tc>
          <w:tcPr>
            <w:tcW w:w="602" w:type="pct"/>
            <w:gridSpan w:val="2"/>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w:t>
            </w:r>
          </w:p>
        </w:tc>
        <w:tc>
          <w:tcPr>
            <w:tcW w:w="602" w:type="pc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w:t>
            </w:r>
          </w:p>
        </w:tc>
        <w:tc>
          <w:tcPr>
            <w:tcW w:w="795" w:type="pc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w:t>
            </w:r>
          </w:p>
        </w:tc>
      </w:tr>
      <w:tr w:rsidR="00C37854">
        <w:trPr>
          <w:trHeight w:val="308"/>
          <w:jc w:val="center"/>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137.55</w:t>
            </w:r>
          </w:p>
        </w:tc>
        <w:tc>
          <w:tcPr>
            <w:tcW w:w="602"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78.79</w:t>
            </w: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一般公共服务支出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602"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20126</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档案事务</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602"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2012604</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档案馆</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602"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社会保障和就业支出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38.52</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38.52</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行政事业单位养老支出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36.16</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36.16</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2080501</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行政单位离退休</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color w:val="000000"/>
                <w:sz w:val="20"/>
                <w:szCs w:val="20"/>
              </w:rPr>
              <w:t>0</w:t>
            </w:r>
            <w:r>
              <w:rPr>
                <w:rFonts w:ascii="Times New Roman" w:eastAsia="宋体" w:hAnsi="Times New Roman" w:cs="Times New Roman"/>
                <w:color w:val="000000"/>
                <w:sz w:val="20"/>
                <w:szCs w:val="20"/>
              </w:rPr>
              <w:t>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color w:val="000000"/>
                <w:sz w:val="20"/>
                <w:szCs w:val="20"/>
              </w:rPr>
              <w:t>0</w:t>
            </w:r>
            <w:r>
              <w:rPr>
                <w:rFonts w:ascii="Times New Roman" w:eastAsia="宋体" w:hAnsi="Times New Roman" w:cs="Times New Roman"/>
                <w:color w:val="000000"/>
                <w:sz w:val="20"/>
                <w:szCs w:val="20"/>
              </w:rPr>
              <w:t>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2080502</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事业单位离退休</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25.21</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25.21</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2080505</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10.90</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10.90</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其他社会保障和就业支出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2089999</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其他社会保障和就业支出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卫生健康支出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行政事业单位医疗</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2101102</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事业单位医疗</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住房保障</w:t>
            </w:r>
            <w:r>
              <w:rPr>
                <w:rFonts w:ascii="方正仿宋_GB2312" w:eastAsia="方正仿宋_GB2312" w:hAnsi="方正仿宋_GB2312" w:cs="方正仿宋_GB2312" w:hint="eastAsia"/>
                <w:color w:val="000000"/>
                <w:sz w:val="20"/>
                <w:szCs w:val="20"/>
              </w:rPr>
              <w:lastRenderedPageBreak/>
              <w:t>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lastRenderedPageBreak/>
              <w:t>8.75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22102</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2210201</w:t>
            </w:r>
          </w:p>
        </w:tc>
        <w:tc>
          <w:tcPr>
            <w:tcW w:w="635" w:type="pct"/>
            <w:tcBorders>
              <w:top w:val="nil"/>
              <w:left w:val="nil"/>
              <w:bottom w:val="single" w:sz="4" w:space="0" w:color="000000"/>
              <w:right w:val="single" w:sz="4" w:space="0" w:color="000000"/>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603"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60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jc w:val="center"/>
        </w:trPr>
        <w:tc>
          <w:tcPr>
            <w:tcW w:w="5000" w:type="pct"/>
            <w:gridSpan w:val="10"/>
            <w:tcBorders>
              <w:top w:val="nil"/>
              <w:left w:val="nil"/>
              <w:bottom w:val="nil"/>
              <w:right w:val="nil"/>
            </w:tcBorders>
            <w:noWrap/>
            <w:vAlign w:val="center"/>
          </w:tcPr>
          <w:p w:rsidR="00C37854" w:rsidRDefault="00E00414">
            <w:pPr>
              <w:widowControl/>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注：本表反映部门本年度各项支出情况。</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7281" w:type="pct"/>
        <w:tblInd w:w="-1857" w:type="dxa"/>
        <w:tblLayout w:type="fixed"/>
        <w:tblLook w:val="04A0" w:firstRow="1" w:lastRow="0" w:firstColumn="1" w:lastColumn="0" w:noHBand="0" w:noVBand="1"/>
      </w:tblPr>
      <w:tblGrid>
        <w:gridCol w:w="1982"/>
        <w:gridCol w:w="623"/>
        <w:gridCol w:w="1428"/>
        <w:gridCol w:w="1658"/>
        <w:gridCol w:w="438"/>
        <w:gridCol w:w="623"/>
        <w:gridCol w:w="459"/>
        <w:gridCol w:w="834"/>
        <w:gridCol w:w="1218"/>
        <w:gridCol w:w="1218"/>
        <w:gridCol w:w="1227"/>
      </w:tblGrid>
      <w:tr w:rsidR="00C37854">
        <w:trPr>
          <w:trHeight w:val="550"/>
        </w:trPr>
        <w:tc>
          <w:tcPr>
            <w:tcW w:w="5000" w:type="pct"/>
            <w:gridSpan w:val="11"/>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财政拨款收入支出决算总表</w:t>
            </w:r>
          </w:p>
        </w:tc>
      </w:tr>
      <w:tr w:rsidR="00C37854">
        <w:trPr>
          <w:trHeight w:val="300"/>
        </w:trPr>
        <w:tc>
          <w:tcPr>
            <w:tcW w:w="5000" w:type="pct"/>
            <w:gridSpan w:val="11"/>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公开04表</w:t>
            </w:r>
          </w:p>
        </w:tc>
      </w:tr>
      <w:tr w:rsidR="00C37854">
        <w:trPr>
          <w:trHeight w:val="300"/>
        </w:trPr>
        <w:tc>
          <w:tcPr>
            <w:tcW w:w="2431" w:type="pct"/>
            <w:gridSpan w:val="4"/>
            <w:tcBorders>
              <w:top w:val="nil"/>
              <w:left w:val="nil"/>
              <w:bottom w:val="single" w:sz="4" w:space="0" w:color="auto"/>
              <w:right w:val="nil"/>
            </w:tcBorders>
            <w:noWrap/>
            <w:vAlign w:val="bottom"/>
          </w:tcPr>
          <w:p w:rsidR="00C37854" w:rsidRDefault="00E00414">
            <w:pPr>
              <w:rPr>
                <w:rFonts w:ascii="仿宋" w:eastAsia="仿宋" w:hAnsi="仿宋" w:cs="仿宋"/>
                <w:color w:val="000000"/>
                <w:sz w:val="20"/>
                <w:szCs w:val="20"/>
              </w:rPr>
            </w:pPr>
            <w:r>
              <w:rPr>
                <w:rFonts w:ascii="方正仿宋_GB2312" w:eastAsia="方正仿宋_GB2312" w:hAnsi="方正仿宋_GB2312" w:cs="方正仿宋_GB2312" w:hint="eastAsia"/>
                <w:color w:val="000000"/>
                <w:sz w:val="20"/>
                <w:szCs w:val="20"/>
              </w:rPr>
              <w:t xml:space="preserve">部门（单位）：井陉县档案馆（中共井陉县委党史县志研究中心） </w:t>
            </w:r>
            <w:r>
              <w:rPr>
                <w:rFonts w:asciiTheme="minorEastAsia" w:hAnsiTheme="minorEastAsia" w:cstheme="minorEastAsia" w:hint="eastAsia"/>
                <w:color w:val="000000"/>
                <w:sz w:val="20"/>
                <w:szCs w:val="20"/>
              </w:rPr>
              <w:t xml:space="preserve">                                                                                                   </w:t>
            </w:r>
          </w:p>
        </w:tc>
        <w:tc>
          <w:tcPr>
            <w:tcW w:w="649" w:type="pct"/>
            <w:gridSpan w:val="3"/>
            <w:tcBorders>
              <w:top w:val="nil"/>
              <w:left w:val="nil"/>
              <w:bottom w:val="single" w:sz="4" w:space="0" w:color="auto"/>
              <w:right w:val="nil"/>
            </w:tcBorders>
            <w:noWrap/>
            <w:vAlign w:val="bottom"/>
          </w:tcPr>
          <w:p w:rsidR="00C37854" w:rsidRDefault="00E00414">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ascii="Times New Roman"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1919" w:type="pct"/>
            <w:gridSpan w:val="4"/>
            <w:tcBorders>
              <w:top w:val="nil"/>
              <w:left w:val="nil"/>
              <w:bottom w:val="single" w:sz="4" w:space="0" w:color="auto"/>
              <w:right w:val="nil"/>
            </w:tcBorders>
            <w:noWrap/>
            <w:vAlign w:val="bottom"/>
          </w:tcPr>
          <w:p w:rsidR="00C37854" w:rsidRDefault="00E00414">
            <w:pPr>
              <w:jc w:val="right"/>
              <w:rPr>
                <w:rFonts w:asciiTheme="minorEastAsia" w:hAnsiTheme="minorEastAsia" w:cstheme="minorEastAsia"/>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trHeight w:val="308"/>
        </w:trPr>
        <w:tc>
          <w:tcPr>
            <w:tcW w:w="1723" w:type="pct"/>
            <w:gridSpan w:val="3"/>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收入</w:t>
            </w:r>
          </w:p>
        </w:tc>
        <w:tc>
          <w:tcPr>
            <w:tcW w:w="3276" w:type="pct"/>
            <w:gridSpan w:val="8"/>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支出</w:t>
            </w:r>
          </w:p>
        </w:tc>
      </w:tr>
      <w:tr w:rsidR="00C37854">
        <w:trPr>
          <w:trHeight w:val="312"/>
        </w:trPr>
        <w:tc>
          <w:tcPr>
            <w:tcW w:w="847" w:type="pct"/>
            <w:vMerge w:val="restart"/>
            <w:tcBorders>
              <w:top w:val="nil"/>
              <w:left w:val="single" w:sz="4" w:space="0" w:color="000000"/>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    目</w:t>
            </w:r>
          </w:p>
        </w:tc>
        <w:tc>
          <w:tcPr>
            <w:tcW w:w="266"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行次</w:t>
            </w:r>
          </w:p>
        </w:tc>
        <w:tc>
          <w:tcPr>
            <w:tcW w:w="609"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金额</w:t>
            </w:r>
          </w:p>
        </w:tc>
        <w:tc>
          <w:tcPr>
            <w:tcW w:w="895" w:type="pct"/>
            <w:gridSpan w:val="2"/>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266"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行次</w:t>
            </w:r>
          </w:p>
        </w:tc>
        <w:tc>
          <w:tcPr>
            <w:tcW w:w="552" w:type="pct"/>
            <w:gridSpan w:val="2"/>
            <w:vMerge w:val="restart"/>
            <w:tcBorders>
              <w:top w:val="nil"/>
              <w:left w:val="nil"/>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520" w:type="pct"/>
            <w:vMerge w:val="restart"/>
            <w:tcBorders>
              <w:top w:val="nil"/>
              <w:left w:val="nil"/>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一般公共预算财政拨款</w:t>
            </w:r>
          </w:p>
        </w:tc>
        <w:tc>
          <w:tcPr>
            <w:tcW w:w="520" w:type="pct"/>
            <w:vMerge w:val="restart"/>
            <w:tcBorders>
              <w:top w:val="nil"/>
              <w:left w:val="nil"/>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政府性基金预算财政拨款</w:t>
            </w:r>
          </w:p>
        </w:tc>
        <w:tc>
          <w:tcPr>
            <w:tcW w:w="520" w:type="pct"/>
            <w:vMerge w:val="restart"/>
            <w:tcBorders>
              <w:top w:val="nil"/>
              <w:left w:val="nil"/>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国有资本经营预算财政拨款</w:t>
            </w:r>
          </w:p>
        </w:tc>
      </w:tr>
      <w:tr w:rsidR="00C37854">
        <w:trPr>
          <w:trHeight w:val="312"/>
        </w:trPr>
        <w:tc>
          <w:tcPr>
            <w:tcW w:w="847" w:type="pct"/>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266"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609"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895" w:type="pct"/>
            <w:gridSpan w:val="2"/>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266"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52" w:type="pct"/>
            <w:gridSpan w:val="2"/>
            <w:vMerge/>
            <w:tcBorders>
              <w:left w:val="nil"/>
              <w:bottom w:val="single" w:sz="4" w:space="0" w:color="000000"/>
              <w:right w:val="single" w:sz="8" w:space="0" w:color="000000"/>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c>
          <w:tcPr>
            <w:tcW w:w="520" w:type="pct"/>
            <w:vMerge/>
            <w:tcBorders>
              <w:left w:val="nil"/>
              <w:bottom w:val="single" w:sz="4" w:space="0" w:color="000000"/>
              <w:right w:val="single" w:sz="8" w:space="0" w:color="000000"/>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c>
          <w:tcPr>
            <w:tcW w:w="520" w:type="pct"/>
            <w:vMerge/>
            <w:tcBorders>
              <w:left w:val="nil"/>
              <w:bottom w:val="single" w:sz="4" w:space="0" w:color="000000"/>
              <w:right w:val="single" w:sz="8" w:space="0" w:color="000000"/>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c>
          <w:tcPr>
            <w:tcW w:w="520" w:type="pct"/>
            <w:vMerge/>
            <w:tcBorders>
              <w:left w:val="nil"/>
              <w:bottom w:val="single" w:sz="4" w:space="0" w:color="000000"/>
              <w:right w:val="single" w:sz="8" w:space="0" w:color="000000"/>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    次</w:t>
            </w:r>
          </w:p>
        </w:tc>
        <w:tc>
          <w:tcPr>
            <w:tcW w:w="266" w:type="pct"/>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609"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1</w:t>
            </w: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    次</w:t>
            </w:r>
          </w:p>
        </w:tc>
        <w:tc>
          <w:tcPr>
            <w:tcW w:w="266" w:type="pct"/>
            <w:tcBorders>
              <w:top w:val="nil"/>
              <w:left w:val="nil"/>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552"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2</w:t>
            </w:r>
          </w:p>
        </w:tc>
        <w:tc>
          <w:tcPr>
            <w:tcW w:w="520"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3</w:t>
            </w:r>
          </w:p>
        </w:tc>
        <w:tc>
          <w:tcPr>
            <w:tcW w:w="520"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4</w:t>
            </w:r>
          </w:p>
        </w:tc>
        <w:tc>
          <w:tcPr>
            <w:tcW w:w="520" w:type="pct"/>
            <w:tcBorders>
              <w:top w:val="nil"/>
              <w:left w:val="nil"/>
              <w:bottom w:val="single" w:sz="4" w:space="0" w:color="000000"/>
              <w:right w:val="single" w:sz="8" w:space="0" w:color="000000"/>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5</w:t>
            </w: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w:t>
            </w:r>
          </w:p>
        </w:tc>
        <w:tc>
          <w:tcPr>
            <w:tcW w:w="609"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一、一般公共服务支出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33</w:t>
            </w:r>
          </w:p>
        </w:tc>
        <w:tc>
          <w:tcPr>
            <w:tcW w:w="55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163.93</w:t>
            </w:r>
          </w:p>
        </w:tc>
        <w:tc>
          <w:tcPr>
            <w:tcW w:w="520"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163.93</w:t>
            </w: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二、政府性基金预算财政拨款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二、外交支出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34</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三、国有资本经营预算财政拨款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三、国防支出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35</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四、公共安全支出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五、教育支出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37</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六、科学技术支出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七、文化旅游体育与传媒支出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39</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八、社会保障和就业支出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w:t>
            </w:r>
          </w:p>
        </w:tc>
        <w:tc>
          <w:tcPr>
            <w:tcW w:w="55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38.52</w:t>
            </w:r>
          </w:p>
        </w:tc>
        <w:tc>
          <w:tcPr>
            <w:tcW w:w="520"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38.52</w:t>
            </w: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九、卫生健康支出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41</w:t>
            </w:r>
          </w:p>
        </w:tc>
        <w:tc>
          <w:tcPr>
            <w:tcW w:w="55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5.15</w:t>
            </w:r>
          </w:p>
        </w:tc>
        <w:tc>
          <w:tcPr>
            <w:tcW w:w="520"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5.15</w:t>
            </w: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十、节能环保支出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42</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十一、城乡社区支出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43</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auto"/>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nil"/>
              <w:left w:val="nil"/>
              <w:bottom w:val="single" w:sz="4" w:space="0" w:color="auto"/>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w:t>
            </w:r>
          </w:p>
        </w:tc>
        <w:tc>
          <w:tcPr>
            <w:tcW w:w="609" w:type="pct"/>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auto"/>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十二、农林水支出</w:t>
            </w:r>
          </w:p>
        </w:tc>
        <w:tc>
          <w:tcPr>
            <w:tcW w:w="266" w:type="pct"/>
            <w:tcBorders>
              <w:top w:val="nil"/>
              <w:left w:val="nil"/>
              <w:bottom w:val="single" w:sz="4" w:space="0" w:color="auto"/>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44</w:t>
            </w:r>
          </w:p>
        </w:tc>
        <w:tc>
          <w:tcPr>
            <w:tcW w:w="552" w:type="pct"/>
            <w:gridSpan w:val="2"/>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十三、交通运输支出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十四、资源勘探工业信息等支出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46</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十五、商业服务业等支出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47</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十六、金融支出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十七、援助其他地区支出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49</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十八、自然资源海洋气象等支出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19</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十九、住房保障支出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8.75</w:t>
            </w: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8.75</w:t>
            </w: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二十、粮油物资储备支出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52</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二十一、国有资本经营预算支出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二十二、灾害防治及</w:t>
            </w:r>
            <w:r>
              <w:rPr>
                <w:rFonts w:ascii="方正仿宋_GB2312" w:eastAsia="方正仿宋_GB2312" w:hAnsi="方正仿宋_GB2312" w:cs="方正仿宋_GB2312" w:hint="eastAsia"/>
                <w:color w:val="000000"/>
                <w:sz w:val="20"/>
                <w:szCs w:val="20"/>
              </w:rPr>
              <w:lastRenderedPageBreak/>
              <w:t>应急管理支出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lastRenderedPageBreak/>
              <w:t>54</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w:t>
            </w:r>
          </w:p>
        </w:tc>
        <w:tc>
          <w:tcPr>
            <w:tcW w:w="60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二十三、其他支出</w:t>
            </w:r>
          </w:p>
        </w:tc>
        <w:tc>
          <w:tcPr>
            <w:tcW w:w="266"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single" w:sz="4" w:space="0" w:color="auto"/>
              <w:left w:val="single" w:sz="4" w:space="0" w:color="000000"/>
              <w:bottom w:val="single" w:sz="4" w:space="0" w:color="000000"/>
              <w:right w:val="single" w:sz="4" w:space="0" w:color="000000"/>
            </w:tcBorders>
            <w:noWrap/>
            <w:vAlign w:val="center"/>
          </w:tcPr>
          <w:p w:rsidR="00C37854" w:rsidRDefault="00C37854">
            <w:pPr>
              <w:jc w:val="left"/>
              <w:rPr>
                <w:rFonts w:ascii="宋体" w:eastAsia="宋体" w:hAnsi="宋体"/>
                <w:color w:val="000000"/>
                <w:sz w:val="20"/>
                <w:szCs w:val="20"/>
              </w:rPr>
            </w:pPr>
          </w:p>
        </w:tc>
        <w:tc>
          <w:tcPr>
            <w:tcW w:w="266" w:type="pct"/>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24</w:t>
            </w:r>
          </w:p>
        </w:tc>
        <w:tc>
          <w:tcPr>
            <w:tcW w:w="609" w:type="pct"/>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single" w:sz="4" w:space="0" w:color="auto"/>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二十四、债务还本支出</w:t>
            </w:r>
          </w:p>
        </w:tc>
        <w:tc>
          <w:tcPr>
            <w:tcW w:w="266" w:type="pct"/>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56</w:t>
            </w:r>
          </w:p>
        </w:tc>
        <w:tc>
          <w:tcPr>
            <w:tcW w:w="552" w:type="pct"/>
            <w:gridSpan w:val="2"/>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center"/>
              <w:rPr>
                <w:rFonts w:ascii="宋体" w:eastAsia="宋体" w:hAnsi="宋体"/>
                <w:b/>
                <w:bCs/>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二十五、债务付息支出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57</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C37854">
            <w:pPr>
              <w:jc w:val="center"/>
              <w:rPr>
                <w:rFonts w:ascii="宋体" w:eastAsia="宋体" w:hAnsi="宋体"/>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26</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二十六、抗疫特别国债安排的支出</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58</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本年收入合计</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27</w:t>
            </w:r>
          </w:p>
        </w:tc>
        <w:tc>
          <w:tcPr>
            <w:tcW w:w="609"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本年支出合计</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59</w:t>
            </w:r>
          </w:p>
        </w:tc>
        <w:tc>
          <w:tcPr>
            <w:tcW w:w="552" w:type="pct"/>
            <w:gridSpan w:val="2"/>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520" w:type="pct"/>
            <w:tcBorders>
              <w:top w:val="nil"/>
              <w:left w:val="nil"/>
              <w:bottom w:val="single" w:sz="4"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年初财政拨款结转和结余</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年末财政拨款结转和结余</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C37854">
            <w:pPr>
              <w:jc w:val="left"/>
              <w:rPr>
                <w:rFonts w:ascii="方正仿宋_GB2312" w:eastAsia="方正仿宋_GB2312" w:hAnsi="方正仿宋_GB2312" w:cs="方正仿宋_GB2312"/>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61</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lef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二、政府性基金预算财政拨款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C37854">
            <w:pPr>
              <w:jc w:val="left"/>
              <w:rPr>
                <w:rFonts w:ascii="方正仿宋_GB2312" w:eastAsia="方正仿宋_GB2312" w:hAnsi="方正仿宋_GB2312" w:cs="方正仿宋_GB2312"/>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62</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lef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4" w:space="0" w:color="000000"/>
              <w:right w:val="single" w:sz="4" w:space="0" w:color="000000"/>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三、国有资本经营预算财政拨款</w:t>
            </w: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w:t>
            </w:r>
          </w:p>
        </w:tc>
        <w:tc>
          <w:tcPr>
            <w:tcW w:w="60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rsidR="00C37854" w:rsidRDefault="00C37854">
            <w:pPr>
              <w:jc w:val="left"/>
              <w:rPr>
                <w:rFonts w:ascii="方正仿宋_GB2312" w:eastAsia="方正仿宋_GB2312" w:hAnsi="方正仿宋_GB2312" w:cs="方正仿宋_GB2312"/>
                <w:color w:val="000000"/>
                <w:sz w:val="20"/>
                <w:szCs w:val="20"/>
              </w:rPr>
            </w:pPr>
          </w:p>
        </w:tc>
        <w:tc>
          <w:tcPr>
            <w:tcW w:w="2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63</w:t>
            </w:r>
          </w:p>
        </w:tc>
        <w:tc>
          <w:tcPr>
            <w:tcW w:w="552"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rsidR="00C37854" w:rsidRDefault="00C37854">
            <w:pPr>
              <w:jc w:val="left"/>
              <w:rPr>
                <w:rFonts w:ascii="Times New Roman" w:eastAsia="宋体" w:hAnsi="Times New Roman" w:cs="Times New Roman"/>
                <w:color w:val="000000"/>
                <w:sz w:val="20"/>
                <w:szCs w:val="20"/>
              </w:rPr>
            </w:pPr>
          </w:p>
        </w:tc>
      </w:tr>
      <w:tr w:rsidR="00C37854">
        <w:trPr>
          <w:trHeight w:val="308"/>
        </w:trPr>
        <w:tc>
          <w:tcPr>
            <w:tcW w:w="847" w:type="pct"/>
            <w:tcBorders>
              <w:top w:val="nil"/>
              <w:left w:val="single" w:sz="4" w:space="0" w:color="000000"/>
              <w:bottom w:val="single" w:sz="8"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66" w:type="pct"/>
            <w:tcBorders>
              <w:top w:val="nil"/>
              <w:left w:val="nil"/>
              <w:bottom w:val="single" w:sz="8"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32</w:t>
            </w:r>
          </w:p>
        </w:tc>
        <w:tc>
          <w:tcPr>
            <w:tcW w:w="609" w:type="pct"/>
            <w:tcBorders>
              <w:top w:val="nil"/>
              <w:left w:val="nil"/>
              <w:bottom w:val="single" w:sz="8"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895" w:type="pct"/>
            <w:gridSpan w:val="2"/>
            <w:tcBorders>
              <w:top w:val="nil"/>
              <w:left w:val="nil"/>
              <w:bottom w:val="single" w:sz="8"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66" w:type="pct"/>
            <w:tcBorders>
              <w:top w:val="nil"/>
              <w:left w:val="nil"/>
              <w:bottom w:val="single" w:sz="8" w:space="0" w:color="000000"/>
              <w:right w:val="single" w:sz="4" w:space="0" w:color="000000"/>
            </w:tcBorders>
            <w:noWrap/>
            <w:vAlign w:val="center"/>
          </w:tcPr>
          <w:p w:rsidR="00C37854" w:rsidRDefault="00E00414">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64</w:t>
            </w:r>
          </w:p>
        </w:tc>
        <w:tc>
          <w:tcPr>
            <w:tcW w:w="552" w:type="pct"/>
            <w:gridSpan w:val="2"/>
            <w:tcBorders>
              <w:top w:val="nil"/>
              <w:left w:val="nil"/>
              <w:bottom w:val="single" w:sz="8" w:space="0" w:color="000000"/>
              <w:right w:val="single" w:sz="4" w:space="0" w:color="000000"/>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520" w:type="pct"/>
            <w:tcBorders>
              <w:top w:val="nil"/>
              <w:left w:val="nil"/>
              <w:bottom w:val="single" w:sz="8" w:space="0" w:color="000000"/>
              <w:right w:val="single" w:sz="4" w:space="0" w:color="000000"/>
            </w:tcBorders>
            <w:noWrap/>
            <w:vAlign w:val="center"/>
          </w:tcPr>
          <w:p w:rsidR="00C37854" w:rsidRDefault="00C37854">
            <w:pPr>
              <w:jc w:val="right"/>
              <w:rPr>
                <w:rFonts w:ascii="Times New Roman" w:hAnsi="Times New Roman" w:cs="Times New Roman"/>
                <w:sz w:val="20"/>
                <w:szCs w:val="20"/>
              </w:rPr>
            </w:pPr>
          </w:p>
          <w:p w:rsidR="00C37854" w:rsidRDefault="00E00414">
            <w:pPr>
              <w:jc w:val="right"/>
              <w:rPr>
                <w:rFonts w:ascii="Times New Roman" w:hAnsi="Times New Roman" w:cs="Times New Roman"/>
                <w:sz w:val="20"/>
                <w:szCs w:val="20"/>
              </w:rPr>
            </w:pPr>
            <w:r>
              <w:rPr>
                <w:rFonts w:ascii="Times New Roman" w:hAnsi="Times New Roman" w:cs="Times New Roman"/>
                <w:sz w:val="20"/>
                <w:szCs w:val="20"/>
              </w:rPr>
              <w:t>216.35</w:t>
            </w:r>
          </w:p>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8"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0" w:type="pct"/>
            <w:tcBorders>
              <w:top w:val="nil"/>
              <w:left w:val="nil"/>
              <w:bottom w:val="single" w:sz="8" w:space="0" w:color="000000"/>
              <w:right w:val="single" w:sz="8"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5000" w:type="pct"/>
            <w:gridSpan w:val="11"/>
            <w:tcBorders>
              <w:top w:val="nil"/>
              <w:left w:val="nil"/>
              <w:bottom w:val="nil"/>
              <w:right w:val="nil"/>
            </w:tcBorders>
            <w:noWrap/>
            <w:vAlign w:val="center"/>
          </w:tcPr>
          <w:p w:rsidR="00C37854" w:rsidRDefault="00E00414">
            <w:pPr>
              <w:widowControl/>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注：本表反映部门本年度一般公共预算财政拨款、政府性基金预算财政拨款和国有资本经营预算财政拨款的总收支和年末结转结余情况。</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5348" w:type="pct"/>
        <w:tblInd w:w="-657" w:type="dxa"/>
        <w:tblLook w:val="04A0" w:firstRow="1" w:lastRow="0" w:firstColumn="1" w:lastColumn="0" w:noHBand="0" w:noVBand="1"/>
      </w:tblPr>
      <w:tblGrid>
        <w:gridCol w:w="2100"/>
        <w:gridCol w:w="2952"/>
        <w:gridCol w:w="1226"/>
        <w:gridCol w:w="477"/>
        <w:gridCol w:w="497"/>
        <w:gridCol w:w="355"/>
        <w:gridCol w:w="1090"/>
      </w:tblGrid>
      <w:tr w:rsidR="00C37854">
        <w:trPr>
          <w:trHeight w:val="657"/>
        </w:trPr>
        <w:tc>
          <w:tcPr>
            <w:tcW w:w="5000" w:type="pct"/>
            <w:gridSpan w:val="7"/>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一般公共预算财政拨款支出决算表</w:t>
            </w:r>
          </w:p>
        </w:tc>
      </w:tr>
      <w:tr w:rsidR="00C37854">
        <w:trPr>
          <w:trHeight w:val="329"/>
        </w:trPr>
        <w:tc>
          <w:tcPr>
            <w:tcW w:w="5000" w:type="pct"/>
            <w:gridSpan w:val="7"/>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方正仿宋_GB2312" w:hAnsi="Times New Roman" w:cs="Times New Roman"/>
                <w:color w:val="000000"/>
                <w:sz w:val="20"/>
                <w:szCs w:val="20"/>
              </w:rPr>
              <w:t>05</w:t>
            </w:r>
            <w:r>
              <w:rPr>
                <w:rFonts w:ascii="方正仿宋_GB2312" w:eastAsia="方正仿宋_GB2312" w:hAnsi="方正仿宋_GB2312" w:cs="方正仿宋_GB2312" w:hint="eastAsia"/>
                <w:color w:val="000000"/>
                <w:sz w:val="20"/>
                <w:szCs w:val="20"/>
              </w:rPr>
              <w:t>表</w:t>
            </w:r>
          </w:p>
        </w:tc>
      </w:tr>
      <w:tr w:rsidR="00C37854">
        <w:trPr>
          <w:trHeight w:val="329"/>
        </w:trPr>
        <w:tc>
          <w:tcPr>
            <w:tcW w:w="1868" w:type="pct"/>
            <w:gridSpan w:val="3"/>
            <w:tcBorders>
              <w:top w:val="nil"/>
              <w:left w:val="nil"/>
              <w:bottom w:val="single" w:sz="4" w:space="0" w:color="auto"/>
              <w:right w:val="nil"/>
            </w:tcBorders>
            <w:noWrap/>
            <w:vAlign w:val="bottom"/>
          </w:tcPr>
          <w:p w:rsidR="00C37854" w:rsidRDefault="00E00414">
            <w:pPr>
              <w:widowControl/>
              <w:jc w:val="lef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编制部门（单位）：井陉县档案馆（中共井陉县委党史县志研究中心）</w:t>
            </w:r>
          </w:p>
        </w:tc>
        <w:tc>
          <w:tcPr>
            <w:tcW w:w="1541" w:type="pct"/>
            <w:gridSpan w:val="2"/>
            <w:tcBorders>
              <w:top w:val="nil"/>
              <w:left w:val="nil"/>
              <w:bottom w:val="single" w:sz="4" w:space="0" w:color="auto"/>
              <w:right w:val="nil"/>
            </w:tcBorders>
            <w:noWrap/>
            <w:vAlign w:val="bottom"/>
          </w:tcPr>
          <w:p w:rsidR="00C37854" w:rsidRDefault="00E00414">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ascii="Times New Roman"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1590" w:type="pct"/>
            <w:gridSpan w:val="2"/>
            <w:tcBorders>
              <w:top w:val="nil"/>
              <w:left w:val="nil"/>
              <w:bottom w:val="single" w:sz="4" w:space="0" w:color="auto"/>
              <w:right w:val="nil"/>
            </w:tcBorders>
            <w:noWrap/>
            <w:vAlign w:val="bottom"/>
          </w:tcPr>
          <w:p w:rsidR="00C37854" w:rsidRDefault="00E00414">
            <w:pPr>
              <w:widowControl/>
              <w:jc w:val="right"/>
              <w:textAlignment w:val="bottom"/>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trHeight w:val="510"/>
        </w:trPr>
        <w:tc>
          <w:tcPr>
            <w:tcW w:w="1461" w:type="pct"/>
            <w:gridSpan w:val="2"/>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3538" w:type="pct"/>
            <w:gridSpan w:val="5"/>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w:t>
            </w:r>
          </w:p>
        </w:tc>
      </w:tr>
      <w:tr w:rsidR="00C37854">
        <w:trPr>
          <w:trHeight w:val="369"/>
        </w:trPr>
        <w:tc>
          <w:tcPr>
            <w:tcW w:w="704" w:type="pct"/>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756" w:type="pct"/>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1160" w:type="pct"/>
            <w:gridSpan w:val="2"/>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小计</w:t>
            </w:r>
          </w:p>
        </w:tc>
        <w:tc>
          <w:tcPr>
            <w:tcW w:w="1160" w:type="pct"/>
            <w:gridSpan w:val="2"/>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1218" w:type="pct"/>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r>
      <w:tr w:rsidR="00C37854">
        <w:trPr>
          <w:trHeight w:val="346"/>
        </w:trPr>
        <w:tc>
          <w:tcPr>
            <w:tcW w:w="704"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756"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218"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r>
      <w:tr w:rsidR="00C37854">
        <w:trPr>
          <w:trHeight w:val="369"/>
        </w:trPr>
        <w:tc>
          <w:tcPr>
            <w:tcW w:w="704"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756"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c>
          <w:tcPr>
            <w:tcW w:w="1218" w:type="pct"/>
            <w:vMerge/>
            <w:tcBorders>
              <w:top w:val="single" w:sz="4" w:space="0" w:color="auto"/>
              <w:left w:val="single" w:sz="4" w:space="0" w:color="auto"/>
              <w:bottom w:val="single" w:sz="4" w:space="0" w:color="auto"/>
              <w:right w:val="single" w:sz="4" w:space="0" w:color="auto"/>
            </w:tcBorders>
            <w:vAlign w:val="center"/>
          </w:tcPr>
          <w:p w:rsidR="00C37854" w:rsidRDefault="00C37854">
            <w:pPr>
              <w:jc w:val="center"/>
              <w:rPr>
                <w:rFonts w:ascii="宋体" w:eastAsia="宋体" w:hAnsi="宋体"/>
                <w:color w:val="000000"/>
                <w:sz w:val="20"/>
                <w:szCs w:val="20"/>
              </w:rPr>
            </w:pPr>
          </w:p>
        </w:tc>
      </w:tr>
      <w:tr w:rsidR="00C37854">
        <w:trPr>
          <w:trHeight w:val="369"/>
        </w:trPr>
        <w:tc>
          <w:tcPr>
            <w:tcW w:w="1461" w:type="pct"/>
            <w:gridSpan w:val="2"/>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2</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3</w:t>
            </w:r>
          </w:p>
        </w:tc>
      </w:tr>
      <w:tr w:rsidR="00C37854">
        <w:trPr>
          <w:trHeight w:val="369"/>
        </w:trPr>
        <w:tc>
          <w:tcPr>
            <w:tcW w:w="1461" w:type="pct"/>
            <w:gridSpan w:val="2"/>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216.35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137.55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hAnsi="Times New Roman" w:cs="Times New Roman"/>
                <w:sz w:val="20"/>
                <w:szCs w:val="20"/>
              </w:rPr>
              <w:t>78.79</w:t>
            </w: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一般公共服务支出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20126</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档案事务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2012604</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档案馆</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163.93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85.14</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78.79</w:t>
            </w: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38.52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38.52</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行政事业单位养老支出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36.16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36.16</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2080501</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行政单位离退休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color w:val="000000"/>
                <w:sz w:val="20"/>
                <w:szCs w:val="20"/>
              </w:rPr>
              <w:t>0</w:t>
            </w:r>
            <w:r>
              <w:rPr>
                <w:rFonts w:ascii="Times New Roman" w:eastAsia="宋体" w:hAnsi="Times New Roman" w:cs="Times New Roman"/>
                <w:color w:val="000000"/>
                <w:sz w:val="20"/>
                <w:szCs w:val="20"/>
              </w:rPr>
              <w:t>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hint="eastAsia"/>
                <w:color w:val="000000"/>
                <w:sz w:val="20"/>
                <w:szCs w:val="20"/>
              </w:rPr>
              <w:t>0</w:t>
            </w:r>
            <w:r>
              <w:rPr>
                <w:rFonts w:ascii="Times New Roman" w:eastAsia="宋体" w:hAnsi="Times New Roman" w:cs="Times New Roman"/>
                <w:color w:val="000000"/>
                <w:sz w:val="20"/>
                <w:szCs w:val="20"/>
              </w:rPr>
              <w:t>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2080502</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事业单位离退休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25.21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25.21</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2080505</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10.90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10.90</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2089999</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卫生健康支出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行政事业单位医疗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2101102</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住房保障支出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lastRenderedPageBreak/>
              <w:t>22102</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2210201</w:t>
            </w:r>
          </w:p>
        </w:tc>
        <w:tc>
          <w:tcPr>
            <w:tcW w:w="756"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8.75</w:t>
            </w:r>
          </w:p>
        </w:tc>
        <w:tc>
          <w:tcPr>
            <w:tcW w:w="1218"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661"/>
        </w:trPr>
        <w:tc>
          <w:tcPr>
            <w:tcW w:w="5000" w:type="pct"/>
            <w:gridSpan w:val="7"/>
            <w:tcBorders>
              <w:top w:val="single" w:sz="4" w:space="0" w:color="auto"/>
              <w:left w:val="nil"/>
              <w:bottom w:val="nil"/>
              <w:right w:val="nil"/>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注：本表反映部门本年度一般公共预算财政拨款支出情况。</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7050" w:type="pct"/>
        <w:tblInd w:w="-1617" w:type="dxa"/>
        <w:tblLayout w:type="fixed"/>
        <w:tblLook w:val="04A0" w:firstRow="1" w:lastRow="0" w:firstColumn="1" w:lastColumn="0" w:noHBand="0" w:noVBand="1"/>
      </w:tblPr>
      <w:tblGrid>
        <w:gridCol w:w="963"/>
        <w:gridCol w:w="1813"/>
        <w:gridCol w:w="1018"/>
        <w:gridCol w:w="964"/>
        <w:gridCol w:w="440"/>
        <w:gridCol w:w="1372"/>
        <w:gridCol w:w="589"/>
        <w:gridCol w:w="374"/>
        <w:gridCol w:w="964"/>
        <w:gridCol w:w="1816"/>
        <w:gridCol w:w="1023"/>
      </w:tblGrid>
      <w:tr w:rsidR="00C37854">
        <w:trPr>
          <w:trHeight w:val="624"/>
        </w:trPr>
        <w:tc>
          <w:tcPr>
            <w:tcW w:w="5000" w:type="pct"/>
            <w:gridSpan w:val="11"/>
            <w:tcBorders>
              <w:top w:val="nil"/>
              <w:left w:val="nil"/>
              <w:bottom w:val="nil"/>
              <w:right w:val="nil"/>
            </w:tcBorders>
            <w:noWrap/>
            <w:vAlign w:val="bottom"/>
          </w:tcPr>
          <w:p w:rsidR="00C37854" w:rsidRDefault="00E00414">
            <w:pPr>
              <w:widowControl/>
              <w:jc w:val="center"/>
              <w:textAlignment w:val="bottom"/>
              <w:rPr>
                <w:rFonts w:asciiTheme="minorEastAsia" w:hAnsiTheme="minorEastAsia" w:cstheme="minorEastAsia"/>
                <w:color w:val="000000"/>
                <w:sz w:val="18"/>
                <w:szCs w:val="18"/>
              </w:rPr>
            </w:pPr>
            <w:r>
              <w:rPr>
                <w:rFonts w:ascii="方正仿宋_GB2312" w:eastAsia="方正仿宋_GB2312" w:hAnsi="方正仿宋_GB2312" w:cs="方正仿宋_GB2312" w:hint="eastAsia"/>
                <w:bCs/>
                <w:sz w:val="32"/>
                <w:szCs w:val="32"/>
              </w:rPr>
              <w:lastRenderedPageBreak/>
              <w:t>一般公共预算财政拨款基本支出决算明细表</w:t>
            </w:r>
          </w:p>
        </w:tc>
      </w:tr>
      <w:tr w:rsidR="00C37854">
        <w:trPr>
          <w:trHeight w:val="300"/>
        </w:trPr>
        <w:tc>
          <w:tcPr>
            <w:tcW w:w="5000" w:type="pct"/>
            <w:gridSpan w:val="11"/>
            <w:tcBorders>
              <w:top w:val="nil"/>
              <w:left w:val="nil"/>
              <w:bottom w:val="nil"/>
              <w:right w:val="nil"/>
            </w:tcBorders>
            <w:noWrap/>
            <w:vAlign w:val="bottom"/>
          </w:tcPr>
          <w:p w:rsidR="00C37854" w:rsidRDefault="00E00414">
            <w:pPr>
              <w:widowControl/>
              <w:jc w:val="right"/>
              <w:textAlignment w:val="bottom"/>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公开</w:t>
            </w:r>
            <w:r>
              <w:rPr>
                <w:rFonts w:ascii="Times New Roman" w:eastAsia="方正仿宋_GB2312" w:hAnsi="Times New Roman" w:cs="Times New Roman"/>
                <w:color w:val="000000"/>
                <w:sz w:val="18"/>
                <w:szCs w:val="18"/>
              </w:rPr>
              <w:t>06</w:t>
            </w:r>
            <w:r>
              <w:rPr>
                <w:rFonts w:ascii="方正仿宋_GB2312" w:eastAsia="方正仿宋_GB2312" w:hAnsi="方正仿宋_GB2312" w:cs="方正仿宋_GB2312" w:hint="eastAsia"/>
                <w:color w:val="000000"/>
                <w:sz w:val="18"/>
                <w:szCs w:val="18"/>
              </w:rPr>
              <w:t>表</w:t>
            </w:r>
          </w:p>
        </w:tc>
      </w:tr>
      <w:tr w:rsidR="00C37854">
        <w:trPr>
          <w:trHeight w:val="90"/>
        </w:trPr>
        <w:tc>
          <w:tcPr>
            <w:tcW w:w="2293" w:type="pct"/>
            <w:gridSpan w:val="5"/>
            <w:tcBorders>
              <w:top w:val="nil"/>
              <w:left w:val="nil"/>
              <w:bottom w:val="single" w:sz="4" w:space="0" w:color="auto"/>
              <w:right w:val="nil"/>
            </w:tcBorders>
            <w:noWrap/>
            <w:vAlign w:val="bottom"/>
          </w:tcPr>
          <w:p w:rsidR="00C37854" w:rsidRDefault="00E00414">
            <w:pPr>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 xml:space="preserve">部门（单位）：井陉县档案馆（中共井陉县委党史县志研究中心） </w:t>
            </w:r>
            <w:r>
              <w:rPr>
                <w:rFonts w:asciiTheme="minorEastAsia" w:hAnsiTheme="minorEastAsia" w:cstheme="minorEastAsia" w:hint="eastAsia"/>
                <w:color w:val="000000"/>
                <w:sz w:val="18"/>
                <w:szCs w:val="18"/>
              </w:rPr>
              <w:t xml:space="preserve">                                                                   </w:t>
            </w:r>
          </w:p>
        </w:tc>
        <w:tc>
          <w:tcPr>
            <w:tcW w:w="865" w:type="pct"/>
            <w:gridSpan w:val="2"/>
            <w:tcBorders>
              <w:top w:val="nil"/>
              <w:left w:val="nil"/>
              <w:bottom w:val="single" w:sz="4" w:space="0" w:color="auto"/>
              <w:right w:val="nil"/>
            </w:tcBorders>
            <w:noWrap/>
            <w:vAlign w:val="bottom"/>
          </w:tcPr>
          <w:p w:rsidR="00C37854" w:rsidRDefault="00E00414">
            <w:pPr>
              <w:jc w:val="center"/>
              <w:rPr>
                <w:rFonts w:asciiTheme="minorEastAsia" w:hAnsiTheme="minorEastAsia" w:cstheme="minorEastAsia"/>
                <w:color w:val="000000"/>
                <w:sz w:val="18"/>
                <w:szCs w:val="18"/>
              </w:rPr>
            </w:pPr>
            <w:r>
              <w:rPr>
                <w:rFonts w:asciiTheme="minorEastAsia" w:hAnsiTheme="minorEastAsia" w:cstheme="minorEastAsia" w:hint="eastAsia"/>
                <w:color w:val="000000"/>
                <w:sz w:val="18"/>
                <w:szCs w:val="18"/>
              </w:rPr>
              <w:t>2024</w:t>
            </w:r>
            <w:r>
              <w:rPr>
                <w:rFonts w:ascii="方正仿宋_GB2312" w:eastAsia="方正仿宋_GB2312" w:hAnsi="方正仿宋_GB2312" w:cs="方正仿宋_GB2312" w:hint="eastAsia"/>
                <w:color w:val="000000"/>
                <w:sz w:val="18"/>
                <w:szCs w:val="18"/>
              </w:rPr>
              <w:t>年度</w:t>
            </w:r>
          </w:p>
        </w:tc>
        <w:tc>
          <w:tcPr>
            <w:tcW w:w="1841" w:type="pct"/>
            <w:gridSpan w:val="4"/>
            <w:tcBorders>
              <w:top w:val="nil"/>
              <w:left w:val="nil"/>
              <w:bottom w:val="single" w:sz="4" w:space="0" w:color="auto"/>
              <w:right w:val="nil"/>
            </w:tcBorders>
            <w:noWrap/>
            <w:vAlign w:val="bottom"/>
          </w:tcPr>
          <w:p w:rsidR="00C37854" w:rsidRDefault="00E00414">
            <w:pPr>
              <w:jc w:val="right"/>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金额单位：万元</w:t>
            </w:r>
          </w:p>
        </w:tc>
      </w:tr>
      <w:tr w:rsidR="00C37854">
        <w:trPr>
          <w:trHeight w:val="510"/>
        </w:trPr>
        <w:tc>
          <w:tcPr>
            <w:tcW w:w="1674" w:type="pct"/>
            <w:gridSpan w:val="3"/>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人员经费</w:t>
            </w:r>
          </w:p>
        </w:tc>
        <w:tc>
          <w:tcPr>
            <w:tcW w:w="3325" w:type="pct"/>
            <w:gridSpan w:val="8"/>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公用经费</w:t>
            </w: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金额</w:t>
            </w:r>
          </w:p>
        </w:tc>
        <w:tc>
          <w:tcPr>
            <w:tcW w:w="425" w:type="pc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科目名称</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金额</w:t>
            </w:r>
          </w:p>
        </w:tc>
        <w:tc>
          <w:tcPr>
            <w:tcW w:w="425" w:type="pc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金额</w:t>
            </w: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104.43</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7.86</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债务利息及费用支出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基本工资</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38.01</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办公费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sz w:val="18"/>
                <w:szCs w:val="18"/>
              </w:rPr>
            </w:pPr>
            <w:r>
              <w:rPr>
                <w:rFonts w:ascii="Times New Roman" w:hAnsi="Times New Roman" w:cs="Times New Roman" w:hint="eastAsia"/>
                <w:sz w:val="18"/>
                <w:szCs w:val="18"/>
              </w:rPr>
              <w:t>0.83</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国内债务付息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津贴补贴</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10.98</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印刷费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国外债务付息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奖金</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107</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咨询费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伙食补助费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heme="minorEastAsia" w:hAnsiTheme="minorEastAsia" w:cstheme="minor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手续费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房屋建筑物购建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绩效工资</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18.26</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水费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办公设备购置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机关事业单位基本养老保险缴费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sz w:val="18"/>
                <w:szCs w:val="18"/>
              </w:rPr>
            </w:pPr>
            <w:r>
              <w:rPr>
                <w:rFonts w:ascii="Times New Roman" w:hAnsi="Times New Roman" w:cs="Times New Roman" w:hint="eastAsia"/>
                <w:sz w:val="18"/>
                <w:szCs w:val="18"/>
              </w:rPr>
              <w:t>10.97</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专用设备购置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heme="minorEastAsia" w:hAnsiTheme="minorEastAsia" w:cstheme="minorEastAsia"/>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职业年金缴费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邮电费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sz w:val="18"/>
                <w:szCs w:val="18"/>
              </w:rPr>
            </w:pPr>
            <w:r>
              <w:rPr>
                <w:rFonts w:ascii="Times New Roman" w:hAnsi="Times New Roman" w:cs="Times New Roman" w:hint="eastAsia"/>
                <w:sz w:val="18"/>
                <w:szCs w:val="18"/>
              </w:rPr>
              <w:t>1.27</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基础设施建设</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heme="minorEastAsia" w:hAnsiTheme="minorEastAsia" w:cstheme="minorEastAsia"/>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职工基本医疗保险缴费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5.08</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取暖费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大型修缮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公务员医疗补助缴费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物业管理费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信息网络及软件购置更新</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其他社会保障缴费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2.32</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差旅费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物资储备</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住房公积金</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8.75</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因公出国（境）费用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土地补偿</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医疗费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维修（护）费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安置补助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租赁费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地上附着物和青苗补偿</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25.26</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会议费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拆迁补偿</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离休费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培训费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退休费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21.13</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公务接待费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其他交通工具购置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退职（役）费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专用材料费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文物和陈列品购置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抚恤金</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被装购置费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无形资产购置</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生活补助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4.00</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专用燃料费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lastRenderedPageBreak/>
              <w:t>30306</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救济费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劳务费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医疗费补助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委托业务费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资本金注入</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助学金</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工会经费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0.57</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政府投资基金股权投资</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奖励金</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福利费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费用补贴</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个人农业生产补贴</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公务用车运行维护费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利息补贴</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代缴社会保险费</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其他交通费用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4.86</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0.13</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税金及附加费用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center"/>
              <w:rPr>
                <w:rFonts w:asciiTheme="minorEastAsia" w:hAnsiTheme="minorEastAsia" w:cstheme="minor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color w:val="000000"/>
                <w:sz w:val="18"/>
                <w:szCs w:val="18"/>
              </w:rPr>
            </w:pPr>
            <w:r>
              <w:rPr>
                <w:rFonts w:ascii="Times New Roman" w:hAnsi="Times New Roman" w:cs="Times New Roman"/>
                <w:sz w:val="18"/>
                <w:szCs w:val="18"/>
              </w:rPr>
              <w:t>0.34</w:t>
            </w: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国家赔偿费用支出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center"/>
              <w:rPr>
                <w:rFonts w:asciiTheme="minorEastAsia" w:hAnsiTheme="minorEastAsia" w:cstheme="minor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对民间非营利组织和群众性自治组织补贴</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center"/>
              <w:rPr>
                <w:rFonts w:asciiTheme="minorEastAsia" w:hAnsiTheme="minorEastAsia" w:cstheme="minor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经常性赠与</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center"/>
              <w:rPr>
                <w:rFonts w:asciiTheme="minorEastAsia" w:hAnsiTheme="minorEastAsia" w:cstheme="minor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资本性赠与</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center"/>
              <w:rPr>
                <w:rFonts w:asciiTheme="minorEastAsia" w:hAnsiTheme="minorEastAsia" w:cstheme="minor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heme="minorEastAsia" w:hAnsiTheme="minorEastAsia" w:cstheme="minor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C37854">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sz="4" w:space="0" w:color="auto"/>
              <w:left w:val="single" w:sz="4" w:space="0" w:color="auto"/>
              <w:bottom w:val="single" w:sz="4" w:space="0" w:color="auto"/>
              <w:right w:val="single" w:sz="4" w:space="0" w:color="auto"/>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C37854">
            <w:pPr>
              <w:jc w:val="right"/>
              <w:rPr>
                <w:rFonts w:ascii="Times New Roman" w:hAnsi="Times New Roman" w:cs="Times New Roman"/>
                <w:color w:val="000000"/>
                <w:sz w:val="18"/>
                <w:szCs w:val="18"/>
              </w:rPr>
            </w:pPr>
          </w:p>
        </w:tc>
      </w:tr>
      <w:tr w:rsidR="00C37854">
        <w:trPr>
          <w:trHeight w:val="510"/>
        </w:trPr>
        <w:tc>
          <w:tcPr>
            <w:tcW w:w="1225" w:type="pct"/>
            <w:gridSpan w:val="2"/>
            <w:tcBorders>
              <w:top w:val="single" w:sz="4" w:space="0" w:color="auto"/>
              <w:left w:val="single" w:sz="4" w:space="0" w:color="auto"/>
              <w:bottom w:val="single" w:sz="4" w:space="0" w:color="auto"/>
              <w:right w:val="single" w:sz="4" w:space="0" w:color="auto"/>
            </w:tcBorders>
            <w:noWrap/>
            <w:vAlign w:val="center"/>
          </w:tcPr>
          <w:p w:rsidR="00C37854" w:rsidRDefault="00E00414">
            <w:pPr>
              <w:jc w:val="center"/>
              <w:rPr>
                <w:rFonts w:ascii="Times New Roman" w:hAnsi="Times New Roman" w:cs="Times New Roman"/>
                <w:sz w:val="18"/>
                <w:szCs w:val="18"/>
              </w:rPr>
            </w:pPr>
            <w:r>
              <w:rPr>
                <w:rFonts w:ascii="方正仿宋_GB2312" w:eastAsia="方正仿宋_GB2312" w:hAnsi="方正仿宋_GB2312" w:cs="方正仿宋_GB2312" w:hint="eastAsia"/>
                <w:color w:val="000000"/>
                <w:sz w:val="18"/>
                <w:szCs w:val="18"/>
              </w:rPr>
              <w:t>人员经费合计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imes New Roman" w:hAnsi="Times New Roman" w:cs="Times New Roman"/>
                <w:sz w:val="18"/>
                <w:szCs w:val="18"/>
              </w:rPr>
            </w:pPr>
            <w:r>
              <w:rPr>
                <w:rFonts w:ascii="Times New Roman" w:hAnsi="Times New Roman" w:cs="Times New Roman"/>
                <w:sz w:val="18"/>
                <w:szCs w:val="18"/>
              </w:rPr>
              <w:t>129.69</w:t>
            </w:r>
          </w:p>
        </w:tc>
        <w:tc>
          <w:tcPr>
            <w:tcW w:w="2875" w:type="pct"/>
            <w:gridSpan w:val="7"/>
            <w:tcBorders>
              <w:top w:val="single" w:sz="4" w:space="0" w:color="auto"/>
              <w:left w:val="single" w:sz="4" w:space="0" w:color="auto"/>
              <w:bottom w:val="single" w:sz="4" w:space="0" w:color="auto"/>
              <w:right w:val="single" w:sz="4" w:space="0" w:color="auto"/>
            </w:tcBorders>
            <w:noWrap/>
            <w:vAlign w:val="center"/>
          </w:tcPr>
          <w:p w:rsidR="00C37854" w:rsidRDefault="00E00414">
            <w:pPr>
              <w:jc w:val="center"/>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公用经费合计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rsidR="00C37854" w:rsidRDefault="00E00414">
            <w:pPr>
              <w:jc w:val="right"/>
              <w:rPr>
                <w:rFonts w:asciiTheme="minorEastAsia" w:hAnsiTheme="minorEastAsia" w:cstheme="minorEastAsia"/>
                <w:color w:val="000000"/>
                <w:sz w:val="18"/>
                <w:szCs w:val="18"/>
              </w:rPr>
            </w:pPr>
            <w:r>
              <w:rPr>
                <w:rFonts w:ascii="Times New Roman" w:hAnsi="Times New Roman" w:cs="Times New Roman"/>
                <w:sz w:val="18"/>
                <w:szCs w:val="18"/>
              </w:rPr>
              <w:t>7.86</w:t>
            </w:r>
          </w:p>
        </w:tc>
      </w:tr>
      <w:tr w:rsidR="00C37854">
        <w:trPr>
          <w:trHeight w:val="510"/>
        </w:trPr>
        <w:tc>
          <w:tcPr>
            <w:tcW w:w="5000" w:type="pct"/>
            <w:gridSpan w:val="11"/>
            <w:tcBorders>
              <w:top w:val="single" w:sz="4" w:space="0" w:color="auto"/>
              <w:left w:val="nil"/>
              <w:bottom w:val="nil"/>
              <w:right w:val="nil"/>
            </w:tcBorders>
            <w:noWrap/>
            <w:vAlign w:val="center"/>
          </w:tcPr>
          <w:p w:rsidR="00C37854" w:rsidRDefault="00E00414">
            <w:pPr>
              <w:widowControl/>
              <w:jc w:val="left"/>
              <w:textAlignment w:val="center"/>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注：本表反映部门本年度一般公共预算财政拨款基本支出明细情况。</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6517" w:type="pct"/>
        <w:tblInd w:w="-1404" w:type="dxa"/>
        <w:tblLayout w:type="fixed"/>
        <w:tblLook w:val="04A0" w:firstRow="1" w:lastRow="0" w:firstColumn="1" w:lastColumn="0" w:noHBand="0" w:noVBand="1"/>
      </w:tblPr>
      <w:tblGrid>
        <w:gridCol w:w="1260"/>
        <w:gridCol w:w="1473"/>
        <w:gridCol w:w="1306"/>
        <w:gridCol w:w="1025"/>
        <w:gridCol w:w="1107"/>
        <w:gridCol w:w="419"/>
        <w:gridCol w:w="700"/>
        <w:gridCol w:w="1146"/>
        <w:gridCol w:w="2043"/>
      </w:tblGrid>
      <w:tr w:rsidR="00C37854">
        <w:trPr>
          <w:trHeight w:val="550"/>
        </w:trPr>
        <w:tc>
          <w:tcPr>
            <w:tcW w:w="5000" w:type="pct"/>
            <w:gridSpan w:val="9"/>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政府性基金预算财政拨款收入支出决算表</w:t>
            </w:r>
          </w:p>
        </w:tc>
      </w:tr>
      <w:tr w:rsidR="00C37854">
        <w:trPr>
          <w:trHeight w:val="90"/>
        </w:trPr>
        <w:tc>
          <w:tcPr>
            <w:tcW w:w="5000" w:type="pct"/>
            <w:gridSpan w:val="9"/>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宋体" w:hAnsi="Times New Roman" w:cs="Times New Roman"/>
                <w:color w:val="000000"/>
                <w:sz w:val="20"/>
                <w:szCs w:val="20"/>
              </w:rPr>
              <w:t>07</w:t>
            </w:r>
            <w:r>
              <w:rPr>
                <w:rFonts w:ascii="方正仿宋_GB2312" w:eastAsia="方正仿宋_GB2312" w:hAnsi="方正仿宋_GB2312" w:cs="方正仿宋_GB2312" w:hint="eastAsia"/>
                <w:color w:val="000000"/>
                <w:sz w:val="20"/>
                <w:szCs w:val="20"/>
              </w:rPr>
              <w:t>表</w:t>
            </w:r>
          </w:p>
        </w:tc>
      </w:tr>
      <w:tr w:rsidR="00C37854">
        <w:trPr>
          <w:trHeight w:val="300"/>
        </w:trPr>
        <w:tc>
          <w:tcPr>
            <w:tcW w:w="1927" w:type="pct"/>
            <w:gridSpan w:val="3"/>
            <w:tcBorders>
              <w:top w:val="nil"/>
              <w:left w:val="nil"/>
              <w:bottom w:val="single" w:sz="4" w:space="0" w:color="auto"/>
              <w:right w:val="nil"/>
            </w:tcBorders>
            <w:noWrap/>
            <w:vAlign w:val="bottom"/>
          </w:tcPr>
          <w:p w:rsidR="00C37854" w:rsidRDefault="00E00414">
            <w:pPr>
              <w:widowControl/>
              <w:jc w:val="lef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 xml:space="preserve">部门（单位）：井陉县档案馆（中共井陉县委党史县志研究中心） </w:t>
            </w:r>
            <w:r>
              <w:rPr>
                <w:rFonts w:ascii="宋体" w:eastAsia="宋体" w:hAnsi="宋体" w:hint="eastAsia"/>
                <w:color w:val="000000"/>
                <w:sz w:val="20"/>
                <w:szCs w:val="20"/>
              </w:rPr>
              <w:t xml:space="preserve">                                                                                     </w:t>
            </w:r>
          </w:p>
        </w:tc>
        <w:tc>
          <w:tcPr>
            <w:tcW w:w="1217" w:type="pct"/>
            <w:gridSpan w:val="3"/>
            <w:tcBorders>
              <w:top w:val="nil"/>
              <w:left w:val="nil"/>
              <w:bottom w:val="single" w:sz="4" w:space="0" w:color="auto"/>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Times New Roman" w:eastAsia="宋体" w:hAnsi="Times New Roman" w:cs="Times New Roman"/>
                <w:color w:val="000000"/>
                <w:sz w:val="20"/>
                <w:szCs w:val="20"/>
              </w:rPr>
              <w:t>202</w:t>
            </w:r>
            <w:r>
              <w:rPr>
                <w:rFonts w:ascii="Times New Roman" w:eastAsia="宋体"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1854" w:type="pct"/>
            <w:gridSpan w:val="3"/>
            <w:tcBorders>
              <w:top w:val="nil"/>
              <w:left w:val="nil"/>
              <w:bottom w:val="single" w:sz="4" w:space="0" w:color="auto"/>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trHeight w:val="308"/>
        </w:trPr>
        <w:tc>
          <w:tcPr>
            <w:tcW w:w="1304" w:type="pct"/>
            <w:gridSpan w:val="2"/>
            <w:tcBorders>
              <w:top w:val="single" w:sz="4" w:space="0" w:color="auto"/>
              <w:left w:val="single" w:sz="4" w:space="0" w:color="000000"/>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623"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年初结转和结余</w:t>
            </w:r>
          </w:p>
        </w:tc>
        <w:tc>
          <w:tcPr>
            <w:tcW w:w="489" w:type="pct"/>
            <w:vMerge w:val="restart"/>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本年收入</w:t>
            </w:r>
          </w:p>
        </w:tc>
        <w:tc>
          <w:tcPr>
            <w:tcW w:w="1609" w:type="pct"/>
            <w:gridSpan w:val="4"/>
            <w:tcBorders>
              <w:top w:val="single" w:sz="4" w:space="0" w:color="auto"/>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w:t>
            </w:r>
          </w:p>
        </w:tc>
        <w:tc>
          <w:tcPr>
            <w:tcW w:w="973" w:type="pct"/>
            <w:vMerge w:val="restart"/>
            <w:tcBorders>
              <w:top w:val="single" w:sz="4" w:space="0" w:color="auto"/>
              <w:left w:val="nil"/>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年末结转和结余</w:t>
            </w:r>
          </w:p>
        </w:tc>
      </w:tr>
      <w:tr w:rsidR="00C37854">
        <w:trPr>
          <w:trHeight w:val="312"/>
        </w:trPr>
        <w:tc>
          <w:tcPr>
            <w:tcW w:w="601" w:type="pct"/>
            <w:vMerge w:val="restart"/>
            <w:tcBorders>
              <w:top w:val="nil"/>
              <w:left w:val="single" w:sz="4" w:space="0" w:color="000000"/>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703"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62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28"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小计</w:t>
            </w:r>
          </w:p>
        </w:tc>
        <w:tc>
          <w:tcPr>
            <w:tcW w:w="534" w:type="pct"/>
            <w:gridSpan w:val="2"/>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546" w:type="pct"/>
            <w:vMerge w:val="restart"/>
            <w:tcBorders>
              <w:top w:val="nil"/>
              <w:left w:val="nil"/>
              <w:bottom w:val="single" w:sz="4" w:space="0" w:color="000000"/>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c>
          <w:tcPr>
            <w:tcW w:w="973" w:type="pct"/>
            <w:vMerge/>
            <w:tcBorders>
              <w:left w:val="nil"/>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结转</w:t>
            </w:r>
          </w:p>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结余</w:t>
            </w:r>
          </w:p>
        </w:tc>
      </w:tr>
      <w:tr w:rsidR="00C37854">
        <w:trPr>
          <w:trHeight w:val="312"/>
        </w:trPr>
        <w:tc>
          <w:tcPr>
            <w:tcW w:w="601" w:type="pct"/>
            <w:vMerge/>
            <w:tcBorders>
              <w:top w:val="nil"/>
              <w:left w:val="single" w:sz="4" w:space="0" w:color="000000"/>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703"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62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28"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34" w:type="pct"/>
            <w:gridSpan w:val="2"/>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46"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973" w:type="pct"/>
            <w:vMerge/>
            <w:tcBorders>
              <w:left w:val="nil"/>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r>
      <w:tr w:rsidR="00C37854">
        <w:trPr>
          <w:trHeight w:val="312"/>
        </w:trPr>
        <w:tc>
          <w:tcPr>
            <w:tcW w:w="601" w:type="pct"/>
            <w:vMerge/>
            <w:tcBorders>
              <w:top w:val="nil"/>
              <w:left w:val="single" w:sz="4" w:space="0" w:color="000000"/>
              <w:bottom w:val="single" w:sz="4" w:space="0" w:color="auto"/>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703" w:type="pct"/>
            <w:vMerge/>
            <w:tcBorders>
              <w:top w:val="nil"/>
              <w:left w:val="nil"/>
              <w:bottom w:val="single" w:sz="4" w:space="0" w:color="auto"/>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623"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28"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34" w:type="pct"/>
            <w:gridSpan w:val="2"/>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546" w:type="pct"/>
            <w:vMerge/>
            <w:tcBorders>
              <w:top w:val="nil"/>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973" w:type="pct"/>
            <w:vMerge/>
            <w:tcBorders>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r>
      <w:tr w:rsidR="00C37854">
        <w:trPr>
          <w:trHeight w:val="308"/>
        </w:trPr>
        <w:tc>
          <w:tcPr>
            <w:tcW w:w="1304" w:type="pct"/>
            <w:gridSpan w:val="2"/>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623" w:type="pct"/>
            <w:tcBorders>
              <w:top w:val="nil"/>
              <w:left w:val="single" w:sz="4" w:space="0" w:color="auto"/>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1</w:t>
            </w:r>
          </w:p>
        </w:tc>
        <w:tc>
          <w:tcPr>
            <w:tcW w:w="489"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2</w:t>
            </w:r>
          </w:p>
        </w:tc>
        <w:tc>
          <w:tcPr>
            <w:tcW w:w="528"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3</w:t>
            </w:r>
          </w:p>
        </w:tc>
        <w:tc>
          <w:tcPr>
            <w:tcW w:w="534"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4</w:t>
            </w:r>
          </w:p>
        </w:tc>
        <w:tc>
          <w:tcPr>
            <w:tcW w:w="54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5</w:t>
            </w:r>
          </w:p>
        </w:tc>
        <w:tc>
          <w:tcPr>
            <w:tcW w:w="973"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6</w:t>
            </w:r>
          </w:p>
        </w:tc>
      </w:tr>
      <w:tr w:rsidR="00C37854">
        <w:trPr>
          <w:trHeight w:val="869"/>
        </w:trPr>
        <w:tc>
          <w:tcPr>
            <w:tcW w:w="1304" w:type="pct"/>
            <w:gridSpan w:val="2"/>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623" w:type="pct"/>
            <w:tcBorders>
              <w:top w:val="nil"/>
              <w:left w:val="single" w:sz="4" w:space="0" w:color="auto"/>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489"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28"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34"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54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73"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5000" w:type="pct"/>
            <w:gridSpan w:val="9"/>
            <w:tcBorders>
              <w:top w:val="nil"/>
              <w:left w:val="nil"/>
              <w:bottom w:val="nil"/>
              <w:right w:val="nil"/>
            </w:tcBorders>
            <w:noWrap/>
            <w:vAlign w:val="center"/>
          </w:tcPr>
          <w:p w:rsidR="00C37854" w:rsidRDefault="00E00414">
            <w:pP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注：本表反映部门本年度政府性基金预算财政拨款收入、支出及结转和结余情况。</w:t>
            </w:r>
          </w:p>
          <w:p w:rsidR="00C37854" w:rsidRDefault="00E00414">
            <w:pP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本部门本年度无政府性基金预算财政拨款收支及结转、结余，故空表列示。</w:t>
            </w:r>
            <w:r>
              <w:rPr>
                <w:rFonts w:ascii="方正仿宋_GB2312" w:eastAsia="方正仿宋_GB2312" w:hAnsi="方正仿宋_GB2312" w:cs="方正仿宋_GB2312" w:hint="eastAsia"/>
                <w:color w:val="000000"/>
                <w:sz w:val="20"/>
                <w:szCs w:val="20"/>
              </w:rPr>
              <w:br w:type="page"/>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W w:w="5863" w:type="pct"/>
        <w:tblInd w:w="-976" w:type="dxa"/>
        <w:tblLayout w:type="fixed"/>
        <w:tblLook w:val="04A0" w:firstRow="1" w:lastRow="0" w:firstColumn="1" w:lastColumn="0" w:noHBand="0" w:noVBand="1"/>
      </w:tblPr>
      <w:tblGrid>
        <w:gridCol w:w="2992"/>
        <w:gridCol w:w="730"/>
        <w:gridCol w:w="1297"/>
        <w:gridCol w:w="1337"/>
        <w:gridCol w:w="45"/>
        <w:gridCol w:w="1286"/>
        <w:gridCol w:w="6"/>
        <w:gridCol w:w="1735"/>
      </w:tblGrid>
      <w:tr w:rsidR="00C37854">
        <w:trPr>
          <w:trHeight w:val="550"/>
        </w:trPr>
        <w:tc>
          <w:tcPr>
            <w:tcW w:w="5000" w:type="pct"/>
            <w:gridSpan w:val="8"/>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国有资本经营预算财政拨款支出决算表</w:t>
            </w:r>
          </w:p>
        </w:tc>
      </w:tr>
      <w:tr w:rsidR="00C37854">
        <w:trPr>
          <w:trHeight w:val="300"/>
        </w:trPr>
        <w:tc>
          <w:tcPr>
            <w:tcW w:w="5000" w:type="pct"/>
            <w:gridSpan w:val="8"/>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方正仿宋_GB2312" w:hAnsi="Times New Roman" w:cs="Times New Roman"/>
                <w:color w:val="000000"/>
                <w:sz w:val="20"/>
                <w:szCs w:val="20"/>
              </w:rPr>
              <w:t>08</w:t>
            </w:r>
            <w:r>
              <w:rPr>
                <w:rFonts w:ascii="方正仿宋_GB2312" w:eastAsia="方正仿宋_GB2312" w:hAnsi="方正仿宋_GB2312" w:cs="方正仿宋_GB2312" w:hint="eastAsia"/>
                <w:color w:val="000000"/>
                <w:sz w:val="20"/>
                <w:szCs w:val="20"/>
              </w:rPr>
              <w:t>表</w:t>
            </w:r>
          </w:p>
        </w:tc>
      </w:tr>
      <w:tr w:rsidR="00C37854">
        <w:trPr>
          <w:trHeight w:val="300"/>
        </w:trPr>
        <w:tc>
          <w:tcPr>
            <w:tcW w:w="1974" w:type="pct"/>
            <w:gridSpan w:val="2"/>
            <w:tcBorders>
              <w:top w:val="nil"/>
              <w:left w:val="nil"/>
              <w:bottom w:val="single" w:sz="4" w:space="0" w:color="auto"/>
              <w:right w:val="nil"/>
            </w:tcBorders>
            <w:noWrap/>
            <w:vAlign w:val="bottom"/>
          </w:tcPr>
          <w:p w:rsidR="00C37854" w:rsidRDefault="00E00414">
            <w:pPr>
              <w:widowControl/>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部门（单位）：井陉县档案馆（中共井陉县委党史县志研究中心）</w:t>
            </w:r>
          </w:p>
        </w:tc>
        <w:tc>
          <w:tcPr>
            <w:tcW w:w="1421" w:type="pct"/>
            <w:gridSpan w:val="3"/>
            <w:tcBorders>
              <w:top w:val="nil"/>
              <w:left w:val="nil"/>
              <w:bottom w:val="single" w:sz="4" w:space="0" w:color="auto"/>
              <w:right w:val="nil"/>
            </w:tcBorders>
            <w:noWrap/>
            <w:vAlign w:val="bottom"/>
          </w:tcPr>
          <w:p w:rsidR="00C37854" w:rsidRDefault="00E00414">
            <w:pPr>
              <w:widowControl/>
              <w:jc w:val="center"/>
              <w:textAlignment w:val="bottom"/>
              <w:rPr>
                <w:rFonts w:ascii="宋体" w:eastAsia="宋体" w:hAnsi="宋体"/>
                <w:color w:val="000000"/>
                <w:sz w:val="20"/>
                <w:szCs w:val="20"/>
              </w:rPr>
            </w:pPr>
            <w:r>
              <w:rPr>
                <w:rFonts w:ascii="Times New Roman" w:eastAsia="宋体" w:hAnsi="Times New Roman" w:cs="Times New Roman"/>
                <w:color w:val="000000"/>
                <w:sz w:val="20"/>
                <w:szCs w:val="20"/>
              </w:rPr>
              <w:t>202</w:t>
            </w:r>
            <w:r>
              <w:rPr>
                <w:rFonts w:ascii="Times New Roman" w:eastAsia="宋体"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rPr>
              <w:t>年度</w:t>
            </w:r>
          </w:p>
        </w:tc>
        <w:tc>
          <w:tcPr>
            <w:tcW w:w="1603" w:type="pct"/>
            <w:gridSpan w:val="3"/>
            <w:tcBorders>
              <w:top w:val="nil"/>
              <w:left w:val="nil"/>
              <w:bottom w:val="single" w:sz="4" w:space="0" w:color="auto"/>
              <w:right w:val="nil"/>
            </w:tcBorders>
            <w:noWrap/>
            <w:vAlign w:val="bottom"/>
          </w:tcPr>
          <w:p w:rsidR="00C37854" w:rsidRDefault="00E00414">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C37854">
        <w:trPr>
          <w:trHeight w:val="312"/>
        </w:trPr>
        <w:tc>
          <w:tcPr>
            <w:tcW w:w="2662" w:type="pct"/>
            <w:gridSpan w:val="3"/>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 xml:space="preserve"> 项目</w:t>
            </w:r>
          </w:p>
        </w:tc>
        <w:tc>
          <w:tcPr>
            <w:tcW w:w="2337" w:type="pct"/>
            <w:gridSpan w:val="5"/>
            <w:vMerge w:val="restart"/>
            <w:tcBorders>
              <w:top w:val="single" w:sz="4" w:space="0" w:color="auto"/>
              <w:left w:val="single" w:sz="4" w:space="0" w:color="auto"/>
              <w:right w:val="single" w:sz="4" w:space="0" w:color="000000"/>
            </w:tcBorders>
            <w:vAlign w:val="center"/>
          </w:tcPr>
          <w:p w:rsidR="00C37854" w:rsidRDefault="00E00414">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w:t>
            </w:r>
          </w:p>
        </w:tc>
      </w:tr>
      <w:tr w:rsidR="00C37854">
        <w:trPr>
          <w:trHeight w:val="312"/>
        </w:trPr>
        <w:tc>
          <w:tcPr>
            <w:tcW w:w="2662" w:type="pct"/>
            <w:gridSpan w:val="3"/>
            <w:vMerge/>
            <w:tcBorders>
              <w:top w:val="single" w:sz="4" w:space="0" w:color="auto"/>
              <w:left w:val="single" w:sz="4" w:space="0" w:color="auto"/>
              <w:bottom w:val="single" w:sz="4" w:space="0" w:color="auto"/>
              <w:right w:val="single" w:sz="4" w:space="0" w:color="auto"/>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c>
          <w:tcPr>
            <w:tcW w:w="2337" w:type="pct"/>
            <w:gridSpan w:val="5"/>
            <w:vMerge/>
            <w:tcBorders>
              <w:left w:val="single" w:sz="4" w:space="0" w:color="auto"/>
              <w:bottom w:val="single" w:sz="4" w:space="0" w:color="000000"/>
              <w:right w:val="single" w:sz="4" w:space="0" w:color="000000"/>
            </w:tcBorders>
            <w:vAlign w:val="center"/>
          </w:tcPr>
          <w:p w:rsidR="00C37854" w:rsidRDefault="00C37854">
            <w:pPr>
              <w:widowControl/>
              <w:jc w:val="center"/>
              <w:textAlignment w:val="center"/>
              <w:rPr>
                <w:rFonts w:ascii="方正仿宋_GB2312" w:eastAsia="方正仿宋_GB2312" w:hAnsi="方正仿宋_GB2312" w:cs="方正仿宋_GB2312"/>
                <w:color w:val="000000"/>
                <w:sz w:val="20"/>
                <w:szCs w:val="20"/>
              </w:rPr>
            </w:pPr>
          </w:p>
        </w:tc>
      </w:tr>
      <w:tr w:rsidR="00C37854">
        <w:trPr>
          <w:trHeight w:val="312"/>
        </w:trPr>
        <w:tc>
          <w:tcPr>
            <w:tcW w:w="1587" w:type="pct"/>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1074" w:type="pct"/>
            <w:gridSpan w:val="2"/>
            <w:vMerge w:val="restart"/>
            <w:tcBorders>
              <w:top w:val="single" w:sz="4" w:space="0" w:color="auto"/>
              <w:left w:val="single" w:sz="4" w:space="0" w:color="auto"/>
              <w:bottom w:val="single" w:sz="4" w:space="0" w:color="auto"/>
              <w:right w:val="single" w:sz="4" w:space="0" w:color="auto"/>
            </w:tcBorders>
            <w:vAlign w:val="center"/>
          </w:tcPr>
          <w:p w:rsidR="00C37854" w:rsidRDefault="00E00414">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709" w:type="pct"/>
            <w:vMerge w:val="restart"/>
            <w:tcBorders>
              <w:top w:val="nil"/>
              <w:left w:val="single" w:sz="4" w:space="0" w:color="auto"/>
              <w:right w:val="single" w:sz="4" w:space="0" w:color="000000"/>
            </w:tcBorders>
            <w:vAlign w:val="center"/>
          </w:tcPr>
          <w:p w:rsidR="00C37854" w:rsidRDefault="00E00414">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709" w:type="pct"/>
            <w:gridSpan w:val="3"/>
            <w:vMerge w:val="restart"/>
            <w:tcBorders>
              <w:top w:val="nil"/>
              <w:left w:val="nil"/>
              <w:right w:val="single" w:sz="4" w:space="0" w:color="000000"/>
            </w:tcBorders>
            <w:vAlign w:val="center"/>
          </w:tcPr>
          <w:p w:rsidR="00C37854" w:rsidRDefault="00E00414">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919" w:type="pct"/>
            <w:vMerge w:val="restart"/>
            <w:tcBorders>
              <w:top w:val="nil"/>
              <w:left w:val="nil"/>
              <w:right w:val="single" w:sz="4" w:space="0" w:color="000000"/>
            </w:tcBorders>
            <w:vAlign w:val="center"/>
          </w:tcPr>
          <w:p w:rsidR="00C37854" w:rsidRDefault="00E00414">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r>
      <w:tr w:rsidR="00C37854">
        <w:trPr>
          <w:trHeight w:val="312"/>
        </w:trPr>
        <w:tc>
          <w:tcPr>
            <w:tcW w:w="1587" w:type="pct"/>
            <w:vMerge/>
            <w:tcBorders>
              <w:top w:val="single" w:sz="4" w:space="0" w:color="auto"/>
              <w:left w:val="single" w:sz="4" w:space="0" w:color="auto"/>
              <w:bottom w:val="single" w:sz="4" w:space="0" w:color="auto"/>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1074" w:type="pct"/>
            <w:gridSpan w:val="2"/>
            <w:vMerge/>
            <w:tcBorders>
              <w:top w:val="single" w:sz="4" w:space="0" w:color="auto"/>
              <w:left w:val="nil"/>
              <w:bottom w:val="single" w:sz="4" w:space="0" w:color="auto"/>
              <w:right w:val="single" w:sz="4" w:space="0" w:color="auto"/>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709" w:type="pct"/>
            <w:vMerge/>
            <w:tcBorders>
              <w:left w:val="single" w:sz="4" w:space="0" w:color="auto"/>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709" w:type="pct"/>
            <w:gridSpan w:val="3"/>
            <w:vMerge/>
            <w:tcBorders>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c>
          <w:tcPr>
            <w:tcW w:w="919" w:type="pct"/>
            <w:vMerge/>
            <w:tcBorders>
              <w:left w:val="nil"/>
              <w:bottom w:val="single" w:sz="4" w:space="0" w:color="000000"/>
              <w:right w:val="single" w:sz="4" w:space="0" w:color="000000"/>
            </w:tcBorders>
            <w:vAlign w:val="center"/>
          </w:tcPr>
          <w:p w:rsidR="00C37854" w:rsidRDefault="00C37854">
            <w:pPr>
              <w:jc w:val="center"/>
              <w:rPr>
                <w:rFonts w:ascii="方正仿宋_GB2312" w:eastAsia="方正仿宋_GB2312" w:hAnsi="方正仿宋_GB2312" w:cs="方正仿宋_GB2312"/>
                <w:color w:val="000000"/>
                <w:sz w:val="20"/>
                <w:szCs w:val="20"/>
              </w:rPr>
            </w:pPr>
          </w:p>
        </w:tc>
      </w:tr>
      <w:tr w:rsidR="00C37854">
        <w:trPr>
          <w:trHeight w:val="308"/>
        </w:trPr>
        <w:tc>
          <w:tcPr>
            <w:tcW w:w="2662" w:type="pct"/>
            <w:gridSpan w:val="3"/>
            <w:tcBorders>
              <w:top w:val="single" w:sz="4" w:space="0" w:color="auto"/>
              <w:left w:val="single" w:sz="4" w:space="0" w:color="auto"/>
              <w:bottom w:val="single" w:sz="4" w:space="0" w:color="000000"/>
              <w:right w:val="single" w:sz="4" w:space="0" w:color="auto"/>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栏次</w:t>
            </w:r>
          </w:p>
        </w:tc>
        <w:tc>
          <w:tcPr>
            <w:tcW w:w="706" w:type="pct"/>
            <w:tcBorders>
              <w:top w:val="nil"/>
              <w:left w:val="single" w:sz="4" w:space="0" w:color="auto"/>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1</w:t>
            </w:r>
          </w:p>
        </w:tc>
        <w:tc>
          <w:tcPr>
            <w:tcW w:w="706"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2</w:t>
            </w:r>
          </w:p>
        </w:tc>
        <w:tc>
          <w:tcPr>
            <w:tcW w:w="924"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3</w:t>
            </w:r>
          </w:p>
        </w:tc>
      </w:tr>
      <w:tr w:rsidR="00C37854">
        <w:trPr>
          <w:trHeight w:val="308"/>
        </w:trPr>
        <w:tc>
          <w:tcPr>
            <w:tcW w:w="2662" w:type="pct"/>
            <w:gridSpan w:val="3"/>
            <w:tcBorders>
              <w:top w:val="single" w:sz="4" w:space="0" w:color="000000"/>
              <w:left w:val="single" w:sz="4" w:space="0" w:color="000000"/>
              <w:bottom w:val="single" w:sz="4" w:space="0" w:color="000000"/>
              <w:right w:val="single" w:sz="4" w:space="0" w:color="000000"/>
            </w:tcBorders>
            <w:noWrap/>
            <w:vAlign w:val="center"/>
          </w:tcPr>
          <w:p w:rsidR="00C37854" w:rsidRDefault="00E00414">
            <w:pPr>
              <w:jc w:val="center"/>
              <w:rPr>
                <w:rFonts w:ascii="Times New Roman" w:eastAsia="宋体" w:hAnsi="Times New Roman" w:cs="Times New Roman"/>
                <w:color w:val="000000"/>
                <w:sz w:val="20"/>
                <w:szCs w:val="20"/>
              </w:rPr>
            </w:pPr>
            <w:r>
              <w:rPr>
                <w:rFonts w:ascii="Times New Roman" w:eastAsia="方正仿宋_GB2312" w:hAnsi="Times New Roman" w:cs="Times New Roman" w:hint="eastAsia"/>
                <w:color w:val="000000"/>
                <w:sz w:val="20"/>
                <w:szCs w:val="20"/>
              </w:rPr>
              <w:t>合计</w:t>
            </w:r>
          </w:p>
        </w:tc>
        <w:tc>
          <w:tcPr>
            <w:tcW w:w="706" w:type="pct"/>
            <w:tcBorders>
              <w:top w:val="single" w:sz="4" w:space="0" w:color="000000"/>
              <w:left w:val="single" w:sz="4" w:space="0" w:color="000000"/>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706" w:type="pct"/>
            <w:gridSpan w:val="2"/>
            <w:tcBorders>
              <w:top w:val="single" w:sz="4" w:space="0" w:color="000000"/>
              <w:left w:val="single" w:sz="4" w:space="0" w:color="000000"/>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c>
          <w:tcPr>
            <w:tcW w:w="924" w:type="pct"/>
            <w:gridSpan w:val="2"/>
            <w:tcBorders>
              <w:top w:val="single" w:sz="4" w:space="0" w:color="000000"/>
              <w:left w:val="single" w:sz="4" w:space="0" w:color="000000"/>
              <w:bottom w:val="single" w:sz="4" w:space="0" w:color="000000"/>
              <w:right w:val="single" w:sz="4" w:space="0" w:color="000000"/>
            </w:tcBorders>
            <w:noWrap/>
            <w:vAlign w:val="center"/>
          </w:tcPr>
          <w:p w:rsidR="00C37854" w:rsidRDefault="00C37854">
            <w:pPr>
              <w:jc w:val="right"/>
              <w:rPr>
                <w:rFonts w:ascii="Times New Roman" w:eastAsia="宋体" w:hAnsi="Times New Roman" w:cs="Times New Roman"/>
                <w:color w:val="000000"/>
                <w:sz w:val="20"/>
                <w:szCs w:val="20"/>
              </w:rPr>
            </w:pPr>
          </w:p>
        </w:tc>
      </w:tr>
      <w:tr w:rsidR="00C37854">
        <w:trPr>
          <w:trHeight w:val="308"/>
        </w:trPr>
        <w:tc>
          <w:tcPr>
            <w:tcW w:w="5000" w:type="pct"/>
            <w:gridSpan w:val="8"/>
            <w:tcBorders>
              <w:top w:val="nil"/>
              <w:left w:val="nil"/>
              <w:bottom w:val="nil"/>
              <w:right w:val="nil"/>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注：本表反映部门本年度国有资本经营预算财政拨款支出情况。</w:t>
            </w:r>
          </w:p>
          <w:p w:rsidR="00C37854" w:rsidRDefault="00E00414">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本部门本年度无国有资本经营预算财政拨款支出，故空表列示。</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tbl>
      <w:tblPr>
        <w:tblpPr w:leftFromText="180" w:rightFromText="180" w:vertAnchor="text" w:horzAnchor="page" w:tblpX="282" w:tblpY="39"/>
        <w:tblOverlap w:val="never"/>
        <w:tblW w:w="7211" w:type="pct"/>
        <w:tblLayout w:type="fixed"/>
        <w:tblLook w:val="04A0" w:firstRow="1" w:lastRow="0" w:firstColumn="1" w:lastColumn="0" w:noHBand="0" w:noVBand="1"/>
      </w:tblPr>
      <w:tblGrid>
        <w:gridCol w:w="985"/>
        <w:gridCol w:w="1224"/>
        <w:gridCol w:w="812"/>
        <w:gridCol w:w="944"/>
        <w:gridCol w:w="524"/>
        <w:gridCol w:w="543"/>
        <w:gridCol w:w="779"/>
        <w:gridCol w:w="849"/>
        <w:gridCol w:w="1132"/>
        <w:gridCol w:w="638"/>
        <w:gridCol w:w="1025"/>
        <w:gridCol w:w="948"/>
        <w:gridCol w:w="1192"/>
      </w:tblGrid>
      <w:tr w:rsidR="00C37854">
        <w:trPr>
          <w:trHeight w:val="550"/>
        </w:trPr>
        <w:tc>
          <w:tcPr>
            <w:tcW w:w="5000" w:type="pct"/>
            <w:gridSpan w:val="13"/>
            <w:tcBorders>
              <w:top w:val="nil"/>
              <w:left w:val="nil"/>
              <w:bottom w:val="nil"/>
              <w:right w:val="nil"/>
            </w:tcBorders>
            <w:noWrap/>
            <w:vAlign w:val="bottom"/>
          </w:tcPr>
          <w:p w:rsidR="00C37854" w:rsidRDefault="00E00414">
            <w:pPr>
              <w:widowControl/>
              <w:jc w:val="center"/>
              <w:textAlignment w:val="bottom"/>
              <w:rPr>
                <w:rFonts w:ascii="宋体" w:eastAsia="宋体" w:hAnsi="宋体"/>
                <w:color w:val="000000"/>
                <w:sz w:val="18"/>
                <w:szCs w:val="18"/>
              </w:rPr>
            </w:pPr>
            <w:r>
              <w:rPr>
                <w:rFonts w:ascii="方正仿宋_GB2312" w:eastAsia="方正仿宋_GB2312" w:hAnsi="方正仿宋_GB2312" w:cs="方正仿宋_GB2312" w:hint="eastAsia"/>
                <w:bCs/>
                <w:sz w:val="32"/>
                <w:szCs w:val="32"/>
              </w:rPr>
              <w:lastRenderedPageBreak/>
              <w:t>财政拨款“三公”经费支出决算表</w:t>
            </w:r>
          </w:p>
        </w:tc>
      </w:tr>
      <w:tr w:rsidR="00C37854">
        <w:trPr>
          <w:trHeight w:val="260"/>
        </w:trPr>
        <w:tc>
          <w:tcPr>
            <w:tcW w:w="5000" w:type="pct"/>
            <w:gridSpan w:val="13"/>
            <w:tcBorders>
              <w:top w:val="nil"/>
              <w:left w:val="nil"/>
              <w:bottom w:val="nil"/>
              <w:right w:val="nil"/>
            </w:tcBorders>
            <w:noWrap/>
            <w:vAlign w:val="bottom"/>
          </w:tcPr>
          <w:p w:rsidR="00C37854" w:rsidRDefault="00E00414">
            <w:pPr>
              <w:widowControl/>
              <w:jc w:val="right"/>
              <w:textAlignment w:val="bottom"/>
              <w:rPr>
                <w:rFonts w:ascii="宋体" w:eastAsia="宋体" w:hAnsi="宋体"/>
                <w:color w:val="000000"/>
                <w:sz w:val="18"/>
                <w:szCs w:val="18"/>
              </w:rPr>
            </w:pPr>
            <w:r>
              <w:rPr>
                <w:rFonts w:ascii="方正仿宋_GB2312" w:eastAsia="方正仿宋_GB2312" w:hAnsi="方正仿宋_GB2312" w:cs="方正仿宋_GB2312" w:hint="eastAsia"/>
                <w:color w:val="000000"/>
                <w:sz w:val="18"/>
                <w:szCs w:val="18"/>
              </w:rPr>
              <w:t>公开</w:t>
            </w:r>
            <w:r>
              <w:rPr>
                <w:rFonts w:ascii="Times New Roman" w:eastAsia="方正仿宋_GB2312" w:hAnsi="Times New Roman" w:cs="Times New Roman"/>
                <w:color w:val="000000"/>
                <w:sz w:val="18"/>
                <w:szCs w:val="18"/>
              </w:rPr>
              <w:t>09</w:t>
            </w:r>
            <w:r>
              <w:rPr>
                <w:rFonts w:ascii="方正仿宋_GB2312" w:eastAsia="方正仿宋_GB2312" w:hAnsi="方正仿宋_GB2312" w:cs="方正仿宋_GB2312" w:hint="eastAsia"/>
                <w:color w:val="000000"/>
                <w:sz w:val="18"/>
                <w:szCs w:val="18"/>
              </w:rPr>
              <w:t>表</w:t>
            </w:r>
          </w:p>
        </w:tc>
      </w:tr>
      <w:tr w:rsidR="00C37854">
        <w:trPr>
          <w:trHeight w:val="260"/>
        </w:trPr>
        <w:tc>
          <w:tcPr>
            <w:tcW w:w="1936" w:type="pct"/>
            <w:gridSpan w:val="5"/>
            <w:tcBorders>
              <w:top w:val="nil"/>
              <w:left w:val="nil"/>
              <w:bottom w:val="single" w:sz="4" w:space="0" w:color="auto"/>
              <w:right w:val="nil"/>
            </w:tcBorders>
            <w:noWrap/>
            <w:vAlign w:val="bottom"/>
          </w:tcPr>
          <w:p w:rsidR="00C37854" w:rsidRDefault="00E00414">
            <w:pPr>
              <w:widowControl/>
              <w:jc w:val="left"/>
              <w:textAlignment w:val="bottom"/>
              <w:rPr>
                <w:rFonts w:ascii="宋体" w:eastAsia="宋体" w:hAnsi="宋体"/>
                <w:color w:val="000000"/>
                <w:sz w:val="18"/>
                <w:szCs w:val="18"/>
              </w:rPr>
            </w:pPr>
            <w:r>
              <w:rPr>
                <w:rFonts w:ascii="方正仿宋_GB2312" w:eastAsia="方正仿宋_GB2312" w:hAnsi="方正仿宋_GB2312" w:cs="方正仿宋_GB2312" w:hint="eastAsia"/>
                <w:color w:val="000000"/>
                <w:sz w:val="18"/>
                <w:szCs w:val="18"/>
              </w:rPr>
              <w:t>部门（单位）：井陉县档案馆（中共井陉县委党史县志研究中心）</w:t>
            </w:r>
          </w:p>
        </w:tc>
        <w:tc>
          <w:tcPr>
            <w:tcW w:w="933" w:type="pct"/>
            <w:gridSpan w:val="3"/>
            <w:tcBorders>
              <w:top w:val="nil"/>
              <w:left w:val="nil"/>
              <w:bottom w:val="single" w:sz="4" w:space="0" w:color="auto"/>
              <w:right w:val="nil"/>
            </w:tcBorders>
            <w:noWrap/>
            <w:vAlign w:val="bottom"/>
          </w:tcPr>
          <w:p w:rsidR="00C37854" w:rsidRDefault="00E00414">
            <w:pPr>
              <w:widowControl/>
              <w:jc w:val="center"/>
              <w:textAlignment w:val="bottom"/>
              <w:rPr>
                <w:rFonts w:ascii="宋体" w:eastAsia="宋体" w:hAnsi="宋体"/>
                <w:color w:val="000000"/>
                <w:sz w:val="18"/>
                <w:szCs w:val="18"/>
              </w:rPr>
            </w:pPr>
            <w:r>
              <w:rPr>
                <w:rFonts w:ascii="Times New Roman" w:eastAsia="宋体" w:hAnsi="Times New Roman" w:cs="Times New Roman"/>
                <w:color w:val="000000"/>
                <w:sz w:val="18"/>
                <w:szCs w:val="18"/>
              </w:rPr>
              <w:t>202</w:t>
            </w:r>
            <w:r>
              <w:rPr>
                <w:rFonts w:ascii="Times New Roman" w:eastAsia="宋体" w:hAnsi="Times New Roman" w:cs="Times New Roman" w:hint="eastAsia"/>
                <w:color w:val="000000"/>
                <w:sz w:val="18"/>
                <w:szCs w:val="18"/>
              </w:rPr>
              <w:t>4</w:t>
            </w:r>
            <w:r>
              <w:rPr>
                <w:rFonts w:ascii="方正仿宋_GB2312" w:eastAsia="方正仿宋_GB2312" w:hAnsi="方正仿宋_GB2312" w:cs="方正仿宋_GB2312" w:hint="eastAsia"/>
                <w:color w:val="000000"/>
                <w:sz w:val="18"/>
                <w:szCs w:val="18"/>
              </w:rPr>
              <w:t>年度</w:t>
            </w:r>
          </w:p>
        </w:tc>
        <w:tc>
          <w:tcPr>
            <w:tcW w:w="2129" w:type="pct"/>
            <w:gridSpan w:val="5"/>
            <w:tcBorders>
              <w:top w:val="nil"/>
              <w:left w:val="nil"/>
              <w:bottom w:val="single" w:sz="4" w:space="0" w:color="auto"/>
              <w:right w:val="nil"/>
            </w:tcBorders>
            <w:noWrap/>
            <w:vAlign w:val="bottom"/>
          </w:tcPr>
          <w:p w:rsidR="00C37854" w:rsidRDefault="00E00414">
            <w:pPr>
              <w:widowControl/>
              <w:jc w:val="right"/>
              <w:textAlignment w:val="bottom"/>
              <w:rPr>
                <w:rFonts w:ascii="宋体" w:eastAsia="宋体" w:hAnsi="宋体"/>
                <w:color w:val="000000"/>
                <w:sz w:val="18"/>
                <w:szCs w:val="18"/>
              </w:rPr>
            </w:pPr>
            <w:r>
              <w:rPr>
                <w:rFonts w:ascii="方正仿宋_GB2312" w:eastAsia="方正仿宋_GB2312" w:hAnsi="方正仿宋_GB2312" w:cs="方正仿宋_GB2312" w:hint="eastAsia"/>
                <w:color w:val="000000"/>
                <w:sz w:val="18"/>
                <w:szCs w:val="18"/>
              </w:rPr>
              <w:t>金额单位：万元</w:t>
            </w:r>
          </w:p>
        </w:tc>
      </w:tr>
      <w:tr w:rsidR="00C37854">
        <w:trPr>
          <w:trHeight w:val="431"/>
        </w:trPr>
        <w:tc>
          <w:tcPr>
            <w:tcW w:w="2506" w:type="pct"/>
            <w:gridSpan w:val="7"/>
            <w:tcBorders>
              <w:top w:val="single" w:sz="4" w:space="0" w:color="auto"/>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预算数</w:t>
            </w:r>
          </w:p>
        </w:tc>
        <w:tc>
          <w:tcPr>
            <w:tcW w:w="2493" w:type="pct"/>
            <w:gridSpan w:val="6"/>
            <w:tcBorders>
              <w:top w:val="single" w:sz="4" w:space="0" w:color="auto"/>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决算数</w:t>
            </w:r>
          </w:p>
        </w:tc>
      </w:tr>
      <w:tr w:rsidR="00C37854">
        <w:trPr>
          <w:trHeight w:val="431"/>
        </w:trPr>
        <w:tc>
          <w:tcPr>
            <w:tcW w:w="425" w:type="pct"/>
            <w:vMerge w:val="restar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合计</w:t>
            </w:r>
          </w:p>
        </w:tc>
        <w:tc>
          <w:tcPr>
            <w:tcW w:w="528"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因公出国（境）费</w:t>
            </w:r>
          </w:p>
        </w:tc>
        <w:tc>
          <w:tcPr>
            <w:tcW w:w="1217" w:type="pct"/>
            <w:gridSpan w:val="4"/>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公务用车购置及运行维护费</w:t>
            </w:r>
          </w:p>
        </w:tc>
        <w:tc>
          <w:tcPr>
            <w:tcW w:w="335"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公务接待费</w:t>
            </w:r>
          </w:p>
        </w:tc>
        <w:tc>
          <w:tcPr>
            <w:tcW w:w="366"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合计</w:t>
            </w:r>
          </w:p>
        </w:tc>
        <w:tc>
          <w:tcPr>
            <w:tcW w:w="488"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因公出国（境）费</w:t>
            </w:r>
          </w:p>
        </w:tc>
        <w:tc>
          <w:tcPr>
            <w:tcW w:w="1126" w:type="pct"/>
            <w:gridSpan w:val="3"/>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公务用车购置及运行维护费</w:t>
            </w:r>
          </w:p>
        </w:tc>
        <w:tc>
          <w:tcPr>
            <w:tcW w:w="511" w:type="pct"/>
            <w:vMerge w:val="restar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公务接待费</w:t>
            </w:r>
          </w:p>
        </w:tc>
      </w:tr>
      <w:tr w:rsidR="00C37854">
        <w:trPr>
          <w:trHeight w:val="431"/>
        </w:trPr>
        <w:tc>
          <w:tcPr>
            <w:tcW w:w="425" w:type="pct"/>
            <w:vMerge/>
            <w:tcBorders>
              <w:top w:val="nil"/>
              <w:left w:val="single" w:sz="4" w:space="0" w:color="000000"/>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c>
          <w:tcPr>
            <w:tcW w:w="528" w:type="pct"/>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c>
          <w:tcPr>
            <w:tcW w:w="350"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小计</w:t>
            </w:r>
          </w:p>
        </w:tc>
        <w:tc>
          <w:tcPr>
            <w:tcW w:w="40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公务用车购置费</w:t>
            </w:r>
          </w:p>
        </w:tc>
        <w:tc>
          <w:tcPr>
            <w:tcW w:w="458"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公务用车运行维护费</w:t>
            </w:r>
          </w:p>
        </w:tc>
        <w:tc>
          <w:tcPr>
            <w:tcW w:w="335" w:type="pct"/>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c>
          <w:tcPr>
            <w:tcW w:w="366" w:type="pct"/>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c>
          <w:tcPr>
            <w:tcW w:w="488" w:type="pct"/>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c>
          <w:tcPr>
            <w:tcW w:w="275"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小计</w:t>
            </w:r>
          </w:p>
        </w:tc>
        <w:tc>
          <w:tcPr>
            <w:tcW w:w="442"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公务用车购置费</w:t>
            </w:r>
          </w:p>
        </w:tc>
        <w:tc>
          <w:tcPr>
            <w:tcW w:w="40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公务用车运行维护费</w:t>
            </w:r>
          </w:p>
        </w:tc>
        <w:tc>
          <w:tcPr>
            <w:tcW w:w="511" w:type="pct"/>
            <w:vMerge/>
            <w:tcBorders>
              <w:top w:val="nil"/>
              <w:left w:val="nil"/>
              <w:bottom w:val="single" w:sz="4" w:space="0" w:color="000000"/>
              <w:right w:val="single" w:sz="4" w:space="0" w:color="000000"/>
            </w:tcBorders>
            <w:noWrap/>
            <w:vAlign w:val="center"/>
          </w:tcPr>
          <w:p w:rsidR="00C37854" w:rsidRDefault="00C37854">
            <w:pPr>
              <w:jc w:val="center"/>
              <w:rPr>
                <w:rFonts w:ascii="方正仿宋_GB2312" w:eastAsia="方正仿宋_GB2312" w:hAnsi="方正仿宋_GB2312" w:cs="方正仿宋_GB2312"/>
                <w:color w:val="000000"/>
                <w:sz w:val="18"/>
                <w:szCs w:val="18"/>
              </w:rPr>
            </w:pPr>
          </w:p>
        </w:tc>
      </w:tr>
      <w:tr w:rsidR="00C37854">
        <w:trPr>
          <w:trHeight w:val="431"/>
        </w:trPr>
        <w:tc>
          <w:tcPr>
            <w:tcW w:w="425" w:type="pct"/>
            <w:tcBorders>
              <w:top w:val="nil"/>
              <w:left w:val="single" w:sz="4" w:space="0" w:color="000000"/>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w:t>
            </w:r>
          </w:p>
        </w:tc>
        <w:tc>
          <w:tcPr>
            <w:tcW w:w="528"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2</w:t>
            </w:r>
          </w:p>
        </w:tc>
        <w:tc>
          <w:tcPr>
            <w:tcW w:w="350"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3</w:t>
            </w:r>
          </w:p>
        </w:tc>
        <w:tc>
          <w:tcPr>
            <w:tcW w:w="40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4</w:t>
            </w:r>
          </w:p>
        </w:tc>
        <w:tc>
          <w:tcPr>
            <w:tcW w:w="458" w:type="pct"/>
            <w:gridSpan w:val="2"/>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5</w:t>
            </w:r>
          </w:p>
        </w:tc>
        <w:tc>
          <w:tcPr>
            <w:tcW w:w="335"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6</w:t>
            </w:r>
          </w:p>
        </w:tc>
        <w:tc>
          <w:tcPr>
            <w:tcW w:w="366"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7</w:t>
            </w:r>
          </w:p>
        </w:tc>
        <w:tc>
          <w:tcPr>
            <w:tcW w:w="488"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8</w:t>
            </w:r>
          </w:p>
        </w:tc>
        <w:tc>
          <w:tcPr>
            <w:tcW w:w="275"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9</w:t>
            </w:r>
          </w:p>
        </w:tc>
        <w:tc>
          <w:tcPr>
            <w:tcW w:w="442"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10</w:t>
            </w:r>
          </w:p>
        </w:tc>
        <w:tc>
          <w:tcPr>
            <w:tcW w:w="407"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11</w:t>
            </w:r>
          </w:p>
        </w:tc>
        <w:tc>
          <w:tcPr>
            <w:tcW w:w="511" w:type="pct"/>
            <w:tcBorders>
              <w:top w:val="nil"/>
              <w:left w:val="nil"/>
              <w:bottom w:val="single" w:sz="4" w:space="0" w:color="000000"/>
              <w:right w:val="single" w:sz="4" w:space="0" w:color="000000"/>
            </w:tcBorders>
            <w:noWrap/>
            <w:vAlign w:val="center"/>
          </w:tcPr>
          <w:p w:rsidR="00C37854" w:rsidRDefault="00E00414">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12</w:t>
            </w:r>
          </w:p>
        </w:tc>
      </w:tr>
      <w:tr w:rsidR="00C37854">
        <w:trPr>
          <w:trHeight w:val="431"/>
        </w:trPr>
        <w:tc>
          <w:tcPr>
            <w:tcW w:w="425" w:type="pct"/>
            <w:tcBorders>
              <w:top w:val="nil"/>
              <w:left w:val="single" w:sz="4" w:space="0" w:color="000000"/>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528"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350"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407"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458" w:type="pct"/>
            <w:gridSpan w:val="2"/>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33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366"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488"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275"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442"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407"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c>
          <w:tcPr>
            <w:tcW w:w="511" w:type="pct"/>
            <w:tcBorders>
              <w:top w:val="nil"/>
              <w:left w:val="nil"/>
              <w:bottom w:val="single" w:sz="4" w:space="0" w:color="000000"/>
              <w:right w:val="single" w:sz="4" w:space="0" w:color="000000"/>
            </w:tcBorders>
            <w:noWrap/>
            <w:vAlign w:val="center"/>
          </w:tcPr>
          <w:p w:rsidR="00C37854" w:rsidRDefault="00C37854">
            <w:pPr>
              <w:jc w:val="right"/>
              <w:rPr>
                <w:rFonts w:ascii="Times New Roman" w:eastAsia="方正仿宋_GB2312" w:hAnsi="Times New Roman" w:cs="Times New Roman"/>
                <w:color w:val="000000"/>
                <w:sz w:val="18"/>
                <w:szCs w:val="18"/>
              </w:rPr>
            </w:pPr>
          </w:p>
        </w:tc>
      </w:tr>
      <w:tr w:rsidR="00C37854">
        <w:trPr>
          <w:trHeight w:val="431"/>
        </w:trPr>
        <w:tc>
          <w:tcPr>
            <w:tcW w:w="5000" w:type="pct"/>
            <w:gridSpan w:val="13"/>
            <w:tcBorders>
              <w:top w:val="nil"/>
              <w:left w:val="nil"/>
              <w:bottom w:val="nil"/>
              <w:right w:val="nil"/>
            </w:tcBorders>
            <w:noWrap/>
            <w:vAlign w:val="center"/>
          </w:tcPr>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p w:rsidR="00C37854" w:rsidRDefault="00E00414">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本部门本年度无三公经费相关支出，故空表列示。</w:t>
            </w:r>
          </w:p>
        </w:tc>
      </w:tr>
    </w:tbl>
    <w:p w:rsidR="00C37854" w:rsidRDefault="00C37854">
      <w:pPr>
        <w:rPr>
          <w:rFonts w:ascii="仿宋_GB2312" w:eastAsia="仿宋_GB2312" w:hAnsi="宋体"/>
          <w:b/>
          <w:sz w:val="32"/>
          <w:szCs w:val="32"/>
        </w:rPr>
      </w:pPr>
    </w:p>
    <w:p w:rsidR="00C37854" w:rsidRDefault="00E00414">
      <w:pPr>
        <w:rPr>
          <w:rFonts w:ascii="仿宋_GB2312" w:eastAsia="仿宋_GB2312" w:hAnsi="宋体"/>
          <w:b/>
          <w:sz w:val="32"/>
          <w:szCs w:val="32"/>
        </w:rPr>
      </w:pPr>
      <w:r>
        <w:rPr>
          <w:rFonts w:ascii="仿宋_GB2312" w:eastAsia="仿宋_GB2312" w:hAnsi="宋体" w:hint="eastAsia"/>
          <w:b/>
          <w:sz w:val="32"/>
          <w:szCs w:val="32"/>
        </w:rPr>
        <w:br w:type="page"/>
      </w:r>
    </w:p>
    <w:p w:rsidR="00C37854" w:rsidRDefault="00C37854">
      <w:pPr>
        <w:rPr>
          <w:rFonts w:ascii="仿宋_GB2312" w:eastAsia="仿宋_GB2312" w:hAnsi="宋体"/>
          <w:b/>
          <w:sz w:val="32"/>
          <w:szCs w:val="32"/>
        </w:rPr>
        <w:sectPr w:rsidR="00C37854">
          <w:headerReference w:type="default" r:id="rId16"/>
          <w:footerReference w:type="default" r:id="rId17"/>
          <w:pgSz w:w="11906" w:h="16838"/>
          <w:pgMar w:top="1531" w:right="1984" w:bottom="1531" w:left="2098" w:header="851" w:footer="992" w:gutter="0"/>
          <w:cols w:space="720"/>
          <w:docGrid w:type="lines" w:linePitch="312"/>
        </w:sectPr>
      </w:pPr>
    </w:p>
    <w:p w:rsidR="00C37854" w:rsidRDefault="00E00414">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第三部分</w:t>
      </w:r>
      <w:r>
        <w:rPr>
          <w:rFonts w:ascii="Times New Roman" w:eastAsia="仿宋_GB2312"/>
          <w:sz w:val="44"/>
          <w:szCs w:val="44"/>
        </w:rPr>
        <w:t>2024</w:t>
      </w:r>
      <w:r>
        <w:rPr>
          <w:rFonts w:ascii="Times New Roman" w:eastAsia="黑体"/>
          <w:sz w:val="44"/>
          <w:szCs w:val="44"/>
        </w:rPr>
        <w:t>年度部门决算情况说明</w:t>
      </w:r>
    </w:p>
    <w:p w:rsidR="00C37854" w:rsidRDefault="00E00414">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年度收、支总计（含结转和结余）均为</w:t>
      </w:r>
      <w:r>
        <w:rPr>
          <w:rFonts w:ascii="Times New Roman" w:eastAsia="仿宋_GB2312"/>
          <w:sz w:val="32"/>
          <w:szCs w:val="32"/>
        </w:rPr>
        <w:t>216.35</w:t>
      </w:r>
      <w:r>
        <w:rPr>
          <w:rFonts w:ascii="Times New Roman" w:eastAsia="仿宋_GB2312"/>
          <w:sz w:val="32"/>
          <w:szCs w:val="32"/>
        </w:rPr>
        <w:t>万元。与</w:t>
      </w:r>
      <w:r>
        <w:rPr>
          <w:rFonts w:ascii="Times New Roman" w:eastAsia="仿宋_GB2312"/>
          <w:sz w:val="32"/>
          <w:szCs w:val="32"/>
        </w:rPr>
        <w:t>2023</w:t>
      </w:r>
      <w:r>
        <w:rPr>
          <w:rFonts w:ascii="Times New Roman" w:eastAsia="仿宋_GB2312"/>
          <w:sz w:val="32"/>
          <w:szCs w:val="32"/>
        </w:rPr>
        <w:t>年度决算相比，收支各减少</w:t>
      </w:r>
      <w:r>
        <w:rPr>
          <w:rFonts w:ascii="Times New Roman" w:eastAsia="仿宋_GB2312"/>
          <w:sz w:val="32"/>
          <w:szCs w:val="32"/>
        </w:rPr>
        <w:t>27.98</w:t>
      </w:r>
      <w:r>
        <w:rPr>
          <w:rFonts w:ascii="Times New Roman" w:eastAsia="仿宋_GB2312"/>
          <w:sz w:val="32"/>
          <w:szCs w:val="32"/>
        </w:rPr>
        <w:t>万元，下降</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档案馆建设项目经费减少</w:t>
      </w:r>
      <w:r>
        <w:rPr>
          <w:rFonts w:ascii="Times New Roman" w:eastAsia="仿宋_GB2312"/>
          <w:sz w:val="32"/>
          <w:szCs w:val="32"/>
        </w:rPr>
        <w:t>。</w:t>
      </w:r>
    </w:p>
    <w:p w:rsidR="00C37854" w:rsidRDefault="00E00414">
      <w:pPr>
        <w:pStyle w:val="aa"/>
        <w:widowControl/>
        <w:spacing w:beforeAutospacing="0" w:afterAutospacing="0"/>
        <w:jc w:val="center"/>
        <w:rPr>
          <w:rFonts w:ascii="Times New Roman" w:eastAsia="Arial" w:hAnsi="Times New Roman"/>
        </w:rPr>
      </w:pPr>
      <w:r>
        <w:rPr>
          <w:rFonts w:ascii="Times New Roman" w:eastAsia="宋体" w:hAnsi="Times New Roman" w:hint="eastAsia"/>
          <w:noProof/>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rFonts w:ascii="Times New Roman" w:eastAsia="Arial" w:hAnsi="Times New Roman"/>
          <w:color w:val="000000"/>
          <w:sz w:val="18"/>
          <w:szCs w:val="18"/>
          <w:shd w:val="clear" w:color="auto" w:fill="FFFFFF"/>
        </w:rPr>
        <w:t> </w:t>
      </w:r>
    </w:p>
    <w:p w:rsidR="00C37854" w:rsidRDefault="00E00414">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年度本年收入合计</w:t>
      </w:r>
      <w:r>
        <w:rPr>
          <w:rFonts w:ascii="Times New Roman" w:eastAsia="仿宋_GB2312"/>
          <w:sz w:val="32"/>
          <w:szCs w:val="32"/>
        </w:rPr>
        <w:t>216.35</w:t>
      </w:r>
      <w:r>
        <w:rPr>
          <w:rFonts w:ascii="Times New Roman" w:eastAsia="仿宋_GB2312"/>
          <w:sz w:val="32"/>
          <w:szCs w:val="32"/>
        </w:rPr>
        <w:t>万元，其中：财政拨款收入</w:t>
      </w:r>
      <w:r>
        <w:rPr>
          <w:rFonts w:ascii="Times New Roman" w:eastAsia="仿宋_GB2312"/>
          <w:sz w:val="32"/>
          <w:szCs w:val="32"/>
        </w:rPr>
        <w:t>216.35</w:t>
      </w:r>
      <w:r>
        <w:rPr>
          <w:rFonts w:ascii="Times New Roman" w:eastAsia="仿宋_GB2312"/>
          <w:sz w:val="32"/>
          <w:szCs w:val="32"/>
        </w:rPr>
        <w:t>万元，占</w:t>
      </w:r>
      <w:r>
        <w:rPr>
          <w:rFonts w:ascii="Times New Roman" w:eastAsia="仿宋_GB2312"/>
          <w:sz w:val="32"/>
          <w:szCs w:val="32"/>
        </w:rPr>
        <w:t>100%</w:t>
      </w:r>
      <w:r>
        <w:rPr>
          <w:rFonts w:ascii="Times New Roman" w:eastAsia="仿宋_GB2312"/>
          <w:sz w:val="32"/>
          <w:szCs w:val="32"/>
        </w:rPr>
        <w:t>；上级补助收入</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；事业收入</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；经营收入</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；附属单位上缴收入</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；其他收入</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w:t>
      </w:r>
    </w:p>
    <w:p w:rsidR="00C37854" w:rsidRDefault="00E00414">
      <w:pPr>
        <w:adjustRightInd w:val="0"/>
        <w:snapToGrid w:val="0"/>
        <w:spacing w:line="580" w:lineRule="exact"/>
        <w:rPr>
          <w:rFonts w:ascii="Times New Roman" w:eastAsia="仿宋_GB2312" w:hAnsi="Times New Roman" w:cs="Times New Roman"/>
          <w:kern w:val="2"/>
          <w:sz w:val="32"/>
          <w:szCs w:val="32"/>
          <w:highlight w:val="yellow"/>
          <w:lang w:val="zh-CN"/>
        </w:rPr>
      </w:pPr>
      <w:r>
        <w:rPr>
          <w:rFonts w:ascii="Times New Roman" w:eastAsia="仿宋_GB2312" w:hAnsi="Times New Roman"/>
          <w:noProof/>
          <w:kern w:val="2"/>
          <w:sz w:val="32"/>
          <w:szCs w:val="32"/>
          <w:highlight w:val="yellow"/>
        </w:rPr>
        <w:lastRenderedPageBreak/>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C37854" w:rsidRDefault="00E00414">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年度本年支出合计</w:t>
      </w:r>
      <w:r>
        <w:rPr>
          <w:rFonts w:ascii="Times New Roman" w:eastAsia="仿宋_GB2312"/>
          <w:sz w:val="32"/>
          <w:szCs w:val="32"/>
        </w:rPr>
        <w:t>216.35</w:t>
      </w:r>
      <w:r>
        <w:rPr>
          <w:rFonts w:ascii="Times New Roman" w:eastAsia="仿宋_GB2312"/>
          <w:sz w:val="32"/>
          <w:szCs w:val="32"/>
        </w:rPr>
        <w:t>万元，其中：基本支出</w:t>
      </w:r>
      <w:r>
        <w:rPr>
          <w:rFonts w:ascii="Times New Roman" w:eastAsia="仿宋_GB2312"/>
          <w:sz w:val="32"/>
          <w:szCs w:val="32"/>
        </w:rPr>
        <w:t>137.55</w:t>
      </w:r>
      <w:r>
        <w:rPr>
          <w:rFonts w:ascii="Times New Roman" w:eastAsia="仿宋_GB2312"/>
          <w:sz w:val="32"/>
          <w:szCs w:val="32"/>
        </w:rPr>
        <w:t>万元，占</w:t>
      </w:r>
      <w:r>
        <w:rPr>
          <w:rFonts w:ascii="Times New Roman" w:eastAsia="仿宋_GB2312"/>
          <w:sz w:val="32"/>
          <w:szCs w:val="32"/>
        </w:rPr>
        <w:t>63.6%</w:t>
      </w:r>
      <w:r>
        <w:rPr>
          <w:rFonts w:ascii="Times New Roman" w:eastAsia="仿宋_GB2312"/>
          <w:sz w:val="32"/>
          <w:szCs w:val="32"/>
        </w:rPr>
        <w:t>；项目支出</w:t>
      </w:r>
      <w:r>
        <w:rPr>
          <w:rFonts w:ascii="Times New Roman" w:eastAsia="仿宋_GB2312"/>
          <w:sz w:val="32"/>
          <w:szCs w:val="32"/>
        </w:rPr>
        <w:t>78.79</w:t>
      </w:r>
      <w:r>
        <w:rPr>
          <w:rFonts w:ascii="Times New Roman" w:eastAsia="仿宋_GB2312"/>
          <w:sz w:val="32"/>
          <w:szCs w:val="32"/>
        </w:rPr>
        <w:t>万元，占</w:t>
      </w:r>
      <w:r>
        <w:rPr>
          <w:rFonts w:ascii="Times New Roman" w:eastAsia="仿宋_GB2312"/>
          <w:sz w:val="32"/>
          <w:szCs w:val="32"/>
        </w:rPr>
        <w:t>36.4%</w:t>
      </w:r>
      <w:r>
        <w:rPr>
          <w:rFonts w:ascii="Times New Roman" w:eastAsia="仿宋_GB2312"/>
          <w:sz w:val="32"/>
          <w:szCs w:val="32"/>
        </w:rPr>
        <w:t>；上缴上级支出</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；经营支出</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；对附属单位补助支出</w:t>
      </w:r>
      <w:r>
        <w:rPr>
          <w:rFonts w:ascii="Times New Roman" w:eastAsia="仿宋_GB2312" w:hint="eastAsia"/>
          <w:sz w:val="32"/>
          <w:szCs w:val="32"/>
        </w:rPr>
        <w:t>0</w:t>
      </w:r>
      <w:r>
        <w:rPr>
          <w:rFonts w:ascii="Times New Roman" w:eastAsia="仿宋_GB2312"/>
          <w:sz w:val="32"/>
          <w:szCs w:val="32"/>
        </w:rPr>
        <w:t>万元，占</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w:t>
      </w:r>
    </w:p>
    <w:p w:rsidR="00C37854" w:rsidRDefault="00E00414">
      <w:pPr>
        <w:autoSpaceDE w:val="0"/>
        <w:autoSpaceDN w:val="0"/>
        <w:adjustRightInd w:val="0"/>
        <w:jc w:val="center"/>
        <w:rPr>
          <w:rFonts w:ascii="Times New Roman" w:eastAsia="仿宋_GB2312" w:hAnsi="Times New Roman" w:cs="Times New Roman"/>
          <w:sz w:val="32"/>
          <w:szCs w:val="32"/>
        </w:rPr>
      </w:pPr>
      <w:r>
        <w:rPr>
          <w:rFonts w:ascii="Times New Roman" w:eastAsia="仿宋_GB2312" w:hAnsi="Times New Roman" w:cs="Times New Roman"/>
          <w:noProof/>
          <w:sz w:val="32"/>
          <w:szCs w:val="32"/>
        </w:rPr>
        <w:lastRenderedPageBreak/>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四、财政拨款收入支出决算总体情况说明</w:t>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年度财政拨款收、支总计（含结转和结余）均为</w:t>
      </w:r>
      <w:r>
        <w:rPr>
          <w:rFonts w:ascii="Times New Roman" w:eastAsia="仿宋_GB2312"/>
          <w:sz w:val="32"/>
          <w:szCs w:val="32"/>
        </w:rPr>
        <w:t>216.35</w:t>
      </w:r>
      <w:r>
        <w:rPr>
          <w:rFonts w:ascii="Times New Roman" w:eastAsia="仿宋_GB2312"/>
          <w:sz w:val="32"/>
          <w:szCs w:val="32"/>
        </w:rPr>
        <w:t>万元。与</w:t>
      </w:r>
      <w:r>
        <w:rPr>
          <w:rFonts w:ascii="Times New Roman" w:eastAsia="仿宋_GB2312"/>
          <w:sz w:val="32"/>
          <w:szCs w:val="32"/>
        </w:rPr>
        <w:t>2023</w:t>
      </w:r>
      <w:r>
        <w:rPr>
          <w:rFonts w:ascii="Times New Roman" w:eastAsia="仿宋_GB2312"/>
          <w:sz w:val="32"/>
          <w:szCs w:val="32"/>
        </w:rPr>
        <w:t>年度相比，财政拨款收支各减少</w:t>
      </w:r>
      <w:r>
        <w:rPr>
          <w:rFonts w:ascii="Times New Roman" w:eastAsia="仿宋_GB2312"/>
          <w:sz w:val="32"/>
          <w:szCs w:val="32"/>
        </w:rPr>
        <w:t>27.98</w:t>
      </w:r>
      <w:r>
        <w:rPr>
          <w:rFonts w:ascii="Times New Roman" w:eastAsia="仿宋_GB2312"/>
          <w:sz w:val="32"/>
          <w:szCs w:val="32"/>
        </w:rPr>
        <w:t>万元，降低</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主要是建设项目减少</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年度财政拨款本年收入</w:t>
      </w:r>
      <w:r>
        <w:rPr>
          <w:rFonts w:ascii="Times New Roman" w:eastAsia="仿宋_GB2312"/>
          <w:sz w:val="32"/>
          <w:szCs w:val="32"/>
        </w:rPr>
        <w:t>216.35</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比上年减少</w:t>
      </w:r>
      <w:r>
        <w:rPr>
          <w:rFonts w:ascii="Times New Roman" w:eastAsia="仿宋_GB2312"/>
          <w:sz w:val="32"/>
          <w:szCs w:val="32"/>
        </w:rPr>
        <w:t>27.98</w:t>
      </w:r>
      <w:r>
        <w:rPr>
          <w:rFonts w:ascii="Times New Roman" w:eastAsia="仿宋_GB2312"/>
          <w:sz w:val="32"/>
          <w:szCs w:val="32"/>
        </w:rPr>
        <w:t>万元，降低</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档案馆建设项目减少</w:t>
      </w:r>
      <w:r>
        <w:rPr>
          <w:rFonts w:ascii="Times New Roman" w:eastAsia="仿宋_GB2312"/>
          <w:sz w:val="32"/>
          <w:szCs w:val="32"/>
        </w:rPr>
        <w:t>；本年支出</w:t>
      </w:r>
      <w:r>
        <w:rPr>
          <w:rFonts w:ascii="Times New Roman" w:eastAsia="仿宋_GB2312"/>
          <w:sz w:val="32"/>
          <w:szCs w:val="32"/>
        </w:rPr>
        <w:t>216.35</w:t>
      </w:r>
      <w:r>
        <w:rPr>
          <w:rFonts w:ascii="Times New Roman" w:eastAsia="仿宋_GB2312"/>
          <w:sz w:val="32"/>
          <w:szCs w:val="32"/>
        </w:rPr>
        <w:t>万元，比上年减少</w:t>
      </w:r>
      <w:r>
        <w:rPr>
          <w:rFonts w:ascii="Times New Roman" w:eastAsia="仿宋_GB2312"/>
          <w:sz w:val="32"/>
          <w:szCs w:val="32"/>
        </w:rPr>
        <w:t>27.98</w:t>
      </w:r>
      <w:r>
        <w:rPr>
          <w:rFonts w:ascii="Times New Roman" w:eastAsia="仿宋_GB2312"/>
          <w:sz w:val="32"/>
          <w:szCs w:val="32"/>
        </w:rPr>
        <w:t>万元，降低</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档案馆建设项目减少</w:t>
      </w:r>
      <w:r>
        <w:rPr>
          <w:rFonts w:ascii="Times New Roman" w:eastAsia="仿宋_GB2312"/>
          <w:sz w:val="32"/>
          <w:szCs w:val="32"/>
        </w:rPr>
        <w:t>。具体情况如下：</w:t>
      </w:r>
    </w:p>
    <w:p w:rsidR="00C37854" w:rsidRDefault="00E00414">
      <w:pPr>
        <w:widowControl/>
        <w:spacing w:line="360" w:lineRule="auto"/>
        <w:ind w:firstLineChars="200" w:firstLine="640"/>
        <w:jc w:val="left"/>
        <w:outlineLvl w:val="1"/>
        <w:rPr>
          <w:rFonts w:ascii="Times New Roman" w:eastAsia="仿宋_GB2312"/>
          <w:sz w:val="32"/>
          <w:szCs w:val="32"/>
        </w:rPr>
      </w:pPr>
      <w:r>
        <w:rPr>
          <w:rFonts w:ascii="Times New Roman" w:eastAsia="仿宋_GB2312"/>
          <w:sz w:val="32"/>
          <w:szCs w:val="32"/>
        </w:rPr>
        <w:t xml:space="preserve">1. </w:t>
      </w:r>
      <w:r>
        <w:rPr>
          <w:rFonts w:ascii="Times New Roman" w:eastAsia="仿宋_GB2312"/>
          <w:sz w:val="32"/>
          <w:szCs w:val="32"/>
        </w:rPr>
        <w:t>一般公共预算财政拨款本年收入</w:t>
      </w:r>
      <w:r>
        <w:rPr>
          <w:rFonts w:ascii="Times New Roman" w:eastAsia="仿宋_GB2312"/>
          <w:sz w:val="32"/>
          <w:szCs w:val="32"/>
        </w:rPr>
        <w:t>216.35</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比上年减少</w:t>
      </w:r>
      <w:r>
        <w:rPr>
          <w:rFonts w:ascii="Times New Roman" w:eastAsia="仿宋_GB2312"/>
          <w:sz w:val="32"/>
          <w:szCs w:val="32"/>
        </w:rPr>
        <w:t>27.98</w:t>
      </w:r>
      <w:r>
        <w:rPr>
          <w:rFonts w:ascii="Times New Roman" w:eastAsia="仿宋_GB2312"/>
          <w:sz w:val="32"/>
          <w:szCs w:val="32"/>
        </w:rPr>
        <w:t>万元，降低</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建设项目减少</w:t>
      </w:r>
      <w:r>
        <w:rPr>
          <w:rFonts w:ascii="Times New Roman" w:eastAsia="仿宋_GB2312"/>
          <w:sz w:val="32"/>
          <w:szCs w:val="32"/>
        </w:rPr>
        <w:t>；本年支出</w:t>
      </w:r>
      <w:r>
        <w:rPr>
          <w:rFonts w:ascii="Times New Roman" w:eastAsia="仿宋_GB2312"/>
          <w:sz w:val="32"/>
          <w:szCs w:val="32"/>
        </w:rPr>
        <w:lastRenderedPageBreak/>
        <w:t>216.35</w:t>
      </w:r>
      <w:r>
        <w:rPr>
          <w:rFonts w:ascii="Times New Roman" w:eastAsia="仿宋_GB2312"/>
          <w:sz w:val="32"/>
          <w:szCs w:val="32"/>
        </w:rPr>
        <w:t>万元，比上年减少</w:t>
      </w:r>
      <w:r>
        <w:rPr>
          <w:rFonts w:ascii="Times New Roman" w:eastAsia="仿宋_GB2312"/>
          <w:sz w:val="32"/>
          <w:szCs w:val="32"/>
        </w:rPr>
        <w:t>27.98</w:t>
      </w:r>
      <w:r>
        <w:rPr>
          <w:rFonts w:ascii="Times New Roman" w:eastAsia="仿宋_GB2312"/>
          <w:sz w:val="32"/>
          <w:szCs w:val="32"/>
        </w:rPr>
        <w:t>万元，降低</w:t>
      </w:r>
      <w:r>
        <w:rPr>
          <w:rFonts w:ascii="Times New Roman" w:eastAsia="仿宋_GB2312"/>
          <w:sz w:val="32"/>
          <w:szCs w:val="32"/>
        </w:rPr>
        <w:t>11.5%</w:t>
      </w:r>
      <w:r>
        <w:rPr>
          <w:rFonts w:ascii="Times New Roman" w:eastAsia="仿宋_GB2312"/>
          <w:sz w:val="32"/>
          <w:szCs w:val="32"/>
        </w:rPr>
        <w:t>，主要原因是</w:t>
      </w:r>
      <w:r>
        <w:rPr>
          <w:rFonts w:ascii="Times New Roman" w:eastAsia="仿宋_GB2312" w:hint="eastAsia"/>
          <w:sz w:val="32"/>
          <w:szCs w:val="32"/>
        </w:rPr>
        <w:t>建设项目减少</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政府性基金预算财政拨款本年收入</w:t>
      </w:r>
      <w:r>
        <w:rPr>
          <w:rFonts w:ascii="Times New Roman" w:eastAsia="仿宋_GB2312" w:hint="eastAsia"/>
          <w:sz w:val="32"/>
          <w:szCs w:val="32"/>
        </w:rPr>
        <w:t>0</w:t>
      </w:r>
      <w:r>
        <w:rPr>
          <w:rFonts w:ascii="Times New Roman" w:eastAsia="仿宋_GB2312"/>
          <w:sz w:val="32"/>
          <w:szCs w:val="32"/>
        </w:rPr>
        <w:t>万元，比上年增加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无政府基金预算</w:t>
      </w:r>
      <w:r>
        <w:rPr>
          <w:rFonts w:ascii="Times New Roman" w:eastAsia="仿宋_GB2312"/>
          <w:sz w:val="32"/>
          <w:szCs w:val="32"/>
        </w:rPr>
        <w:t>；本年支出</w:t>
      </w:r>
      <w:r>
        <w:rPr>
          <w:rFonts w:ascii="Times New Roman" w:eastAsia="仿宋_GB2312" w:hint="eastAsia"/>
          <w:sz w:val="32"/>
          <w:szCs w:val="32"/>
        </w:rPr>
        <w:t>0</w:t>
      </w:r>
      <w:r>
        <w:rPr>
          <w:rFonts w:ascii="Times New Roman" w:eastAsia="仿宋_GB2312"/>
          <w:sz w:val="32"/>
          <w:szCs w:val="32"/>
        </w:rPr>
        <w:t>万元，比上年增加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无政府基金预算</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3. </w:t>
      </w:r>
      <w:r>
        <w:rPr>
          <w:rFonts w:ascii="Times New Roman" w:eastAsia="仿宋_GB2312"/>
          <w:sz w:val="32"/>
          <w:szCs w:val="32"/>
        </w:rPr>
        <w:t>国有资本经营预算财政拨款本年收入</w:t>
      </w:r>
      <w:r>
        <w:rPr>
          <w:rFonts w:ascii="Times New Roman" w:eastAsia="仿宋_GB2312" w:hint="eastAsia"/>
          <w:sz w:val="32"/>
          <w:szCs w:val="32"/>
        </w:rPr>
        <w:t>0</w:t>
      </w:r>
      <w:r>
        <w:rPr>
          <w:rFonts w:ascii="Times New Roman" w:eastAsia="仿宋_GB2312"/>
          <w:sz w:val="32"/>
          <w:szCs w:val="32"/>
        </w:rPr>
        <w:t>万元，比上年增加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无政府基金预算</w:t>
      </w:r>
      <w:r>
        <w:rPr>
          <w:rFonts w:ascii="Times New Roman" w:eastAsia="仿宋_GB2312"/>
          <w:sz w:val="32"/>
          <w:szCs w:val="32"/>
        </w:rPr>
        <w:t>；本年支出</w:t>
      </w:r>
      <w:r>
        <w:rPr>
          <w:rFonts w:ascii="Times New Roman" w:eastAsia="仿宋_GB2312" w:hint="eastAsia"/>
          <w:sz w:val="32"/>
          <w:szCs w:val="32"/>
        </w:rPr>
        <w:t>0</w:t>
      </w:r>
      <w:r>
        <w:rPr>
          <w:rFonts w:ascii="Times New Roman" w:eastAsia="仿宋_GB2312"/>
          <w:sz w:val="32"/>
          <w:szCs w:val="32"/>
        </w:rPr>
        <w:t>万元，比上年增加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无政府基金预算</w:t>
      </w:r>
      <w:r>
        <w:rPr>
          <w:rFonts w:ascii="Times New Roman" w:eastAsia="仿宋_GB2312"/>
          <w:sz w:val="32"/>
          <w:szCs w:val="32"/>
        </w:rPr>
        <w:t>。</w:t>
      </w:r>
    </w:p>
    <w:p w:rsidR="00C37854" w:rsidRDefault="00E00414">
      <w:pPr>
        <w:pStyle w:val="aa"/>
        <w:widowControl/>
        <w:spacing w:beforeAutospacing="0" w:afterAutospacing="0"/>
        <w:jc w:val="center"/>
        <w:rPr>
          <w:rFonts w:ascii="Times New Roman" w:eastAsia="仿宋_GB2312" w:hAnsi="Times New Roman"/>
          <w:sz w:val="32"/>
          <w:szCs w:val="32"/>
        </w:rPr>
      </w:pPr>
      <w:r>
        <w:rPr>
          <w:rFonts w:ascii="Times New Roman" w:eastAsia="仿宋_GB2312" w:hAnsi="Times New Roman"/>
          <w:noProof/>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（二）财政拨款收支与年初预算数对比情况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年度财政拨款本年收入</w:t>
      </w:r>
      <w:r>
        <w:rPr>
          <w:rFonts w:ascii="Times New Roman" w:eastAsia="仿宋_GB2312"/>
          <w:sz w:val="32"/>
          <w:szCs w:val="32"/>
        </w:rPr>
        <w:t>216.35</w:t>
      </w:r>
      <w:r>
        <w:rPr>
          <w:rFonts w:ascii="Times New Roman" w:eastAsia="仿宋_GB2312"/>
          <w:sz w:val="32"/>
          <w:szCs w:val="32"/>
        </w:rPr>
        <w:t>万元，完成年初预算的</w:t>
      </w:r>
      <w:r>
        <w:rPr>
          <w:rFonts w:ascii="Times New Roman" w:eastAsia="仿宋_GB2312"/>
          <w:sz w:val="32"/>
          <w:szCs w:val="32"/>
        </w:rPr>
        <w:t>92.9%</w:t>
      </w:r>
      <w:r>
        <w:rPr>
          <w:rFonts w:ascii="Times New Roman" w:eastAsia="仿宋_GB2312"/>
          <w:sz w:val="32"/>
          <w:szCs w:val="32"/>
        </w:rPr>
        <w:t>，比年初预算减少</w:t>
      </w:r>
      <w:r>
        <w:rPr>
          <w:rFonts w:ascii="Times New Roman" w:eastAsia="仿宋_GB2312"/>
          <w:sz w:val="32"/>
          <w:szCs w:val="32"/>
        </w:rPr>
        <w:t>16.66</w:t>
      </w:r>
      <w:r>
        <w:rPr>
          <w:rFonts w:ascii="Times New Roman" w:eastAsia="仿宋_GB2312"/>
          <w:sz w:val="32"/>
          <w:szCs w:val="32"/>
        </w:rPr>
        <w:t>万元，决算数小于预算数主要原因是</w:t>
      </w:r>
      <w:r>
        <w:rPr>
          <w:rFonts w:ascii="Times New Roman" w:eastAsia="仿宋_GB2312" w:hint="eastAsia"/>
          <w:sz w:val="32"/>
          <w:szCs w:val="32"/>
        </w:rPr>
        <w:t>人员工资调整</w:t>
      </w:r>
      <w:r>
        <w:rPr>
          <w:rFonts w:ascii="Times New Roman" w:eastAsia="仿宋_GB2312"/>
          <w:sz w:val="32"/>
          <w:szCs w:val="32"/>
        </w:rPr>
        <w:t>；本年支出</w:t>
      </w:r>
      <w:r>
        <w:rPr>
          <w:rFonts w:ascii="Times New Roman" w:eastAsia="仿宋_GB2312"/>
          <w:sz w:val="32"/>
          <w:szCs w:val="32"/>
        </w:rPr>
        <w:t>216.35</w:t>
      </w:r>
      <w:r>
        <w:rPr>
          <w:rFonts w:ascii="Times New Roman" w:eastAsia="仿宋_GB2312"/>
          <w:sz w:val="32"/>
          <w:szCs w:val="32"/>
        </w:rPr>
        <w:t>万元，完成年初预算的</w:t>
      </w:r>
      <w:r>
        <w:rPr>
          <w:rFonts w:ascii="Times New Roman" w:eastAsia="仿宋_GB2312"/>
          <w:sz w:val="32"/>
          <w:szCs w:val="32"/>
        </w:rPr>
        <w:lastRenderedPageBreak/>
        <w:t>92.9%</w:t>
      </w:r>
      <w:r>
        <w:rPr>
          <w:rFonts w:ascii="Times New Roman" w:eastAsia="仿宋_GB2312"/>
          <w:sz w:val="32"/>
          <w:szCs w:val="32"/>
        </w:rPr>
        <w:t>，比年初预算减少</w:t>
      </w:r>
      <w:r>
        <w:rPr>
          <w:rFonts w:ascii="Times New Roman" w:eastAsia="仿宋_GB2312"/>
          <w:sz w:val="32"/>
          <w:szCs w:val="32"/>
        </w:rPr>
        <w:t>16.66</w:t>
      </w:r>
      <w:r>
        <w:rPr>
          <w:rFonts w:ascii="Times New Roman" w:eastAsia="仿宋_GB2312"/>
          <w:sz w:val="32"/>
          <w:szCs w:val="32"/>
        </w:rPr>
        <w:t>万元，决算数小于预算数主要原因是</w:t>
      </w:r>
      <w:r>
        <w:rPr>
          <w:rFonts w:ascii="Times New Roman" w:eastAsia="仿宋_GB2312" w:hint="eastAsia"/>
          <w:sz w:val="32"/>
          <w:szCs w:val="32"/>
        </w:rPr>
        <w:t>人员工资调整</w:t>
      </w:r>
      <w:r>
        <w:rPr>
          <w:rFonts w:ascii="Times New Roman" w:eastAsia="仿宋_GB2312"/>
          <w:sz w:val="32"/>
          <w:szCs w:val="32"/>
        </w:rPr>
        <w:t>。具体情况如下：</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1. </w:t>
      </w:r>
      <w:r>
        <w:rPr>
          <w:rFonts w:ascii="Times New Roman" w:eastAsia="仿宋_GB2312"/>
          <w:sz w:val="32"/>
          <w:szCs w:val="32"/>
        </w:rPr>
        <w:t>一般公共预算财政拨款本年收入完成年初预算的</w:t>
      </w:r>
      <w:r>
        <w:rPr>
          <w:rFonts w:ascii="Times New Roman" w:eastAsia="仿宋_GB2312"/>
          <w:sz w:val="32"/>
          <w:szCs w:val="32"/>
        </w:rPr>
        <w:t>92.9%</w:t>
      </w:r>
      <w:r>
        <w:rPr>
          <w:rFonts w:ascii="Times New Roman" w:eastAsia="仿宋_GB2312"/>
          <w:sz w:val="32"/>
          <w:szCs w:val="32"/>
        </w:rPr>
        <w:t>，比年初预算减少</w:t>
      </w:r>
      <w:r>
        <w:rPr>
          <w:rFonts w:ascii="Times New Roman" w:eastAsia="仿宋_GB2312"/>
          <w:sz w:val="32"/>
          <w:szCs w:val="32"/>
        </w:rPr>
        <w:t>16.66</w:t>
      </w:r>
      <w:r>
        <w:rPr>
          <w:rFonts w:ascii="Times New Roman" w:eastAsia="仿宋_GB2312"/>
          <w:sz w:val="32"/>
          <w:szCs w:val="32"/>
        </w:rPr>
        <w:t>万元，主要原因是</w:t>
      </w:r>
      <w:r>
        <w:rPr>
          <w:rFonts w:ascii="Times New Roman" w:eastAsia="仿宋_GB2312" w:hint="eastAsia"/>
          <w:sz w:val="32"/>
          <w:szCs w:val="32"/>
        </w:rPr>
        <w:t>人员工资调整</w:t>
      </w:r>
      <w:r>
        <w:rPr>
          <w:rFonts w:ascii="Times New Roman" w:eastAsia="仿宋_GB2312"/>
          <w:sz w:val="32"/>
          <w:szCs w:val="32"/>
        </w:rPr>
        <w:t>；支出完成年初预算的</w:t>
      </w:r>
      <w:r>
        <w:rPr>
          <w:rFonts w:ascii="Times New Roman" w:eastAsia="仿宋_GB2312"/>
          <w:sz w:val="32"/>
          <w:szCs w:val="32"/>
        </w:rPr>
        <w:t>92.9%</w:t>
      </w:r>
      <w:r>
        <w:rPr>
          <w:rFonts w:ascii="Times New Roman" w:eastAsia="仿宋_GB2312"/>
          <w:sz w:val="32"/>
          <w:szCs w:val="32"/>
        </w:rPr>
        <w:t>，比年初预算减少</w:t>
      </w:r>
      <w:r>
        <w:rPr>
          <w:rFonts w:ascii="Times New Roman" w:eastAsia="仿宋_GB2312"/>
          <w:sz w:val="32"/>
          <w:szCs w:val="32"/>
        </w:rPr>
        <w:t>16.66</w:t>
      </w:r>
      <w:r>
        <w:rPr>
          <w:rFonts w:ascii="Times New Roman" w:eastAsia="仿宋_GB2312"/>
          <w:sz w:val="32"/>
          <w:szCs w:val="32"/>
        </w:rPr>
        <w:t>万元，主要原因是</w:t>
      </w:r>
      <w:r>
        <w:rPr>
          <w:rFonts w:ascii="Times New Roman" w:eastAsia="仿宋_GB2312" w:hint="eastAsia"/>
          <w:sz w:val="32"/>
          <w:szCs w:val="32"/>
        </w:rPr>
        <w:t>人员工资调整</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政府性基金预算财政拨款本年收入完成年初预算的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，比年初预算增加</w:t>
      </w:r>
      <w:r>
        <w:rPr>
          <w:rFonts w:ascii="Times New Roman" w:eastAsia="仿宋_GB2312" w:hint="eastAsia"/>
          <w:sz w:val="32"/>
          <w:szCs w:val="32"/>
        </w:rPr>
        <w:t>0</w:t>
      </w:r>
      <w:r>
        <w:rPr>
          <w:rFonts w:ascii="Times New Roman" w:eastAsia="仿宋_GB2312"/>
          <w:sz w:val="32"/>
          <w:szCs w:val="32"/>
        </w:rPr>
        <w:t>万元，主要原因是</w:t>
      </w:r>
      <w:r>
        <w:rPr>
          <w:rFonts w:ascii="Times New Roman" w:eastAsia="仿宋_GB2312" w:hint="eastAsia"/>
          <w:sz w:val="32"/>
          <w:szCs w:val="32"/>
        </w:rPr>
        <w:t>人员工资调整</w:t>
      </w:r>
      <w:r>
        <w:rPr>
          <w:rFonts w:ascii="Times New Roman" w:eastAsia="仿宋_GB2312"/>
          <w:sz w:val="32"/>
          <w:szCs w:val="32"/>
        </w:rPr>
        <w:t>；支出完成年初预算的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，比年初预算增加</w:t>
      </w:r>
      <w:r>
        <w:rPr>
          <w:rFonts w:ascii="Times New Roman" w:eastAsia="仿宋_GB2312" w:hint="eastAsia"/>
          <w:sz w:val="32"/>
          <w:szCs w:val="32"/>
        </w:rPr>
        <w:t>0</w:t>
      </w:r>
      <w:r>
        <w:rPr>
          <w:rFonts w:ascii="Times New Roman" w:eastAsia="仿宋_GB2312"/>
          <w:sz w:val="32"/>
          <w:szCs w:val="32"/>
        </w:rPr>
        <w:t>万元，主要原因是</w:t>
      </w:r>
      <w:r>
        <w:rPr>
          <w:rFonts w:ascii="Times New Roman" w:eastAsia="仿宋_GB2312" w:hint="eastAsia"/>
          <w:sz w:val="32"/>
          <w:szCs w:val="32"/>
        </w:rPr>
        <w:t>人员工资调整</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3. </w:t>
      </w:r>
      <w:r>
        <w:rPr>
          <w:rFonts w:ascii="Times New Roman" w:eastAsia="仿宋_GB2312"/>
          <w:sz w:val="32"/>
          <w:szCs w:val="32"/>
        </w:rPr>
        <w:t>国有资本经营预算财政拨款本年收入完成年初预算的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，比年初预算增加</w:t>
      </w:r>
      <w:r>
        <w:rPr>
          <w:rFonts w:ascii="Times New Roman" w:eastAsia="仿宋_GB2312" w:hint="eastAsia"/>
          <w:sz w:val="32"/>
          <w:szCs w:val="32"/>
        </w:rPr>
        <w:t>0</w:t>
      </w:r>
      <w:r>
        <w:rPr>
          <w:rFonts w:ascii="Times New Roman" w:eastAsia="仿宋_GB2312"/>
          <w:sz w:val="32"/>
          <w:szCs w:val="32"/>
        </w:rPr>
        <w:t>万元，主要原因是</w:t>
      </w:r>
      <w:r>
        <w:rPr>
          <w:rFonts w:ascii="Times New Roman" w:eastAsia="仿宋_GB2312" w:hint="eastAsia"/>
          <w:sz w:val="32"/>
          <w:szCs w:val="32"/>
        </w:rPr>
        <w:t>无国有资本经营预算</w:t>
      </w:r>
      <w:r>
        <w:rPr>
          <w:rFonts w:ascii="Times New Roman" w:eastAsia="仿宋_GB2312"/>
          <w:sz w:val="32"/>
          <w:szCs w:val="32"/>
        </w:rPr>
        <w:t>；支出完成年初预算的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，比年初预算增加</w:t>
      </w:r>
      <w:r>
        <w:rPr>
          <w:rFonts w:ascii="Times New Roman" w:eastAsia="仿宋_GB2312" w:hint="eastAsia"/>
          <w:sz w:val="32"/>
          <w:szCs w:val="32"/>
        </w:rPr>
        <w:t>0</w:t>
      </w:r>
      <w:r>
        <w:rPr>
          <w:rFonts w:ascii="Times New Roman" w:eastAsia="仿宋_GB2312"/>
          <w:sz w:val="32"/>
          <w:szCs w:val="32"/>
        </w:rPr>
        <w:t>万元，主要原因是</w:t>
      </w:r>
      <w:r>
        <w:rPr>
          <w:rFonts w:ascii="Times New Roman" w:eastAsia="仿宋_GB2312" w:hint="eastAsia"/>
          <w:sz w:val="32"/>
          <w:szCs w:val="32"/>
        </w:rPr>
        <w:t>无国有资本经营预算</w:t>
      </w:r>
      <w:r>
        <w:rPr>
          <w:rFonts w:ascii="Times New Roman" w:eastAsia="仿宋_GB2312"/>
          <w:sz w:val="32"/>
          <w:szCs w:val="32"/>
        </w:rPr>
        <w:t>。</w:t>
      </w:r>
    </w:p>
    <w:p w:rsidR="00C37854" w:rsidRDefault="00C37854">
      <w:pPr>
        <w:pStyle w:val="aa"/>
        <w:widowControl/>
        <w:spacing w:beforeAutospacing="0" w:afterAutospacing="0"/>
        <w:rPr>
          <w:rFonts w:ascii="Times New Roman" w:eastAsia="Arial" w:hAnsi="Times New Roman"/>
        </w:rPr>
      </w:pPr>
    </w:p>
    <w:p w:rsidR="00C37854" w:rsidRDefault="00E00414">
      <w:pPr>
        <w:pStyle w:val="aa"/>
        <w:widowControl/>
        <w:spacing w:beforeAutospacing="0" w:afterAutospacing="0"/>
        <w:jc w:val="center"/>
        <w:rPr>
          <w:rFonts w:ascii="Times New Roman" w:eastAsia="仿宋_GB2312" w:hAnsi="Times New Roman"/>
          <w:sz w:val="32"/>
          <w:szCs w:val="32"/>
        </w:rPr>
      </w:pPr>
      <w:r>
        <w:rPr>
          <w:rFonts w:ascii="Times New Roman" w:eastAsia="仿宋_GB2312" w:hAnsi="Times New Roman"/>
          <w:noProof/>
          <w:sz w:val="32"/>
          <w:szCs w:val="32"/>
        </w:rPr>
        <w:lastRenderedPageBreak/>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（三）财政拨款支出决算结构情况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2024</w:t>
      </w:r>
      <w:r>
        <w:rPr>
          <w:rFonts w:ascii="Times New Roman" w:eastAsia="仿宋_GB2312"/>
          <w:sz w:val="32"/>
          <w:szCs w:val="32"/>
        </w:rPr>
        <w:t>年度财政拨款支出</w:t>
      </w:r>
      <w:r>
        <w:rPr>
          <w:rFonts w:ascii="Times New Roman" w:eastAsia="仿宋_GB2312"/>
          <w:sz w:val="32"/>
          <w:szCs w:val="32"/>
        </w:rPr>
        <w:t>216.35</w:t>
      </w:r>
      <w:r>
        <w:rPr>
          <w:rFonts w:ascii="Times New Roman" w:eastAsia="仿宋_GB2312"/>
          <w:sz w:val="32"/>
          <w:szCs w:val="32"/>
        </w:rPr>
        <w:t>万元，主要用于以下方面：</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一般公共预算财政拨款支出：</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一般公共服务（类）支出</w:t>
      </w:r>
      <w:r>
        <w:rPr>
          <w:rFonts w:ascii="Times New Roman" w:eastAsia="仿宋_GB2312"/>
          <w:sz w:val="32"/>
          <w:szCs w:val="32"/>
        </w:rPr>
        <w:t>163.93</w:t>
      </w:r>
      <w:r>
        <w:rPr>
          <w:rFonts w:ascii="Times New Roman" w:eastAsia="仿宋_GB2312"/>
          <w:sz w:val="32"/>
          <w:szCs w:val="32"/>
        </w:rPr>
        <w:t>万元，占</w:t>
      </w:r>
      <w:r>
        <w:rPr>
          <w:rFonts w:ascii="Times New Roman" w:eastAsia="仿宋_GB2312"/>
          <w:sz w:val="32"/>
          <w:szCs w:val="32"/>
        </w:rPr>
        <w:t>75.8%</w:t>
      </w:r>
      <w:r>
        <w:rPr>
          <w:rFonts w:ascii="Times New Roman" w:eastAsia="仿宋_GB2312"/>
          <w:sz w:val="32"/>
          <w:szCs w:val="32"/>
        </w:rPr>
        <w:t>，主要用于</w:t>
      </w:r>
      <w:r>
        <w:rPr>
          <w:rFonts w:ascii="Times New Roman" w:eastAsia="仿宋_GB2312" w:hint="eastAsia"/>
          <w:sz w:val="32"/>
          <w:szCs w:val="32"/>
        </w:rPr>
        <w:t>一般公共服务等</w:t>
      </w:r>
      <w:r>
        <w:rPr>
          <w:rFonts w:ascii="Times New Roman" w:eastAsia="仿宋_GB2312"/>
          <w:sz w:val="32"/>
          <w:szCs w:val="32"/>
        </w:rPr>
        <w:t>支出；社会保障和就业</w:t>
      </w:r>
      <w:r>
        <w:rPr>
          <w:rFonts w:ascii="Times New Roman" w:eastAsia="仿宋_GB2312"/>
          <w:sz w:val="32"/>
          <w:szCs w:val="32"/>
        </w:rPr>
        <w:t xml:space="preserve"> </w:t>
      </w:r>
      <w:r>
        <w:rPr>
          <w:rFonts w:ascii="Times New Roman" w:eastAsia="仿宋_GB2312"/>
          <w:sz w:val="32"/>
          <w:szCs w:val="32"/>
        </w:rPr>
        <w:t>（类）支出</w:t>
      </w:r>
      <w:r>
        <w:rPr>
          <w:rFonts w:ascii="Times New Roman" w:eastAsia="仿宋_GB2312"/>
          <w:sz w:val="32"/>
          <w:szCs w:val="32"/>
        </w:rPr>
        <w:t>38.52</w:t>
      </w:r>
      <w:r>
        <w:rPr>
          <w:rFonts w:ascii="Times New Roman" w:eastAsia="仿宋_GB2312"/>
          <w:sz w:val="32"/>
          <w:szCs w:val="32"/>
        </w:rPr>
        <w:t>万元，占</w:t>
      </w:r>
      <w:r>
        <w:rPr>
          <w:rFonts w:ascii="Times New Roman" w:eastAsia="仿宋_GB2312"/>
          <w:sz w:val="32"/>
          <w:szCs w:val="32"/>
        </w:rPr>
        <w:t>17.8%</w:t>
      </w:r>
      <w:r>
        <w:rPr>
          <w:rFonts w:ascii="Times New Roman" w:eastAsia="仿宋_GB2312"/>
          <w:sz w:val="32"/>
          <w:szCs w:val="32"/>
        </w:rPr>
        <w:t>，主要用于</w:t>
      </w:r>
      <w:r>
        <w:rPr>
          <w:rFonts w:ascii="Times New Roman" w:eastAsia="仿宋_GB2312" w:hint="eastAsia"/>
          <w:sz w:val="32"/>
          <w:szCs w:val="32"/>
        </w:rPr>
        <w:t>机关事业部门基本养老保险缴费、职业年金缴费</w:t>
      </w:r>
      <w:r>
        <w:rPr>
          <w:rFonts w:ascii="Times New Roman" w:eastAsia="仿宋_GB2312"/>
          <w:sz w:val="32"/>
          <w:szCs w:val="32"/>
        </w:rPr>
        <w:t>等支出；卫生健康（类）支出</w:t>
      </w:r>
      <w:r>
        <w:rPr>
          <w:rFonts w:ascii="Times New Roman" w:eastAsia="仿宋_GB2312"/>
          <w:sz w:val="32"/>
          <w:szCs w:val="32"/>
        </w:rPr>
        <w:t>5.15</w:t>
      </w:r>
      <w:r>
        <w:rPr>
          <w:rFonts w:ascii="Times New Roman" w:eastAsia="仿宋_GB2312"/>
          <w:sz w:val="32"/>
          <w:szCs w:val="32"/>
        </w:rPr>
        <w:t>万元，占</w:t>
      </w:r>
      <w:r>
        <w:rPr>
          <w:rFonts w:ascii="Times New Roman" w:eastAsia="仿宋_GB2312"/>
          <w:sz w:val="32"/>
          <w:szCs w:val="32"/>
        </w:rPr>
        <w:t>2.4%</w:t>
      </w:r>
      <w:r>
        <w:rPr>
          <w:rFonts w:ascii="Times New Roman" w:eastAsia="仿宋_GB2312"/>
          <w:sz w:val="32"/>
          <w:szCs w:val="32"/>
        </w:rPr>
        <w:t>，主要用于</w:t>
      </w:r>
      <w:r>
        <w:rPr>
          <w:rFonts w:ascii="Times New Roman" w:eastAsia="仿宋_GB2312" w:hint="eastAsia"/>
          <w:sz w:val="32"/>
          <w:szCs w:val="32"/>
        </w:rPr>
        <w:t>职工基本医疗保险缴费、公务员医疗补助缴费</w:t>
      </w:r>
      <w:r>
        <w:rPr>
          <w:rFonts w:ascii="Times New Roman" w:eastAsia="仿宋_GB2312"/>
          <w:sz w:val="32"/>
          <w:szCs w:val="32"/>
        </w:rPr>
        <w:t>等支出；住房保障（类）支出</w:t>
      </w:r>
      <w:r>
        <w:rPr>
          <w:rFonts w:ascii="Times New Roman" w:eastAsia="仿宋_GB2312"/>
          <w:sz w:val="32"/>
          <w:szCs w:val="32"/>
        </w:rPr>
        <w:t>8.75</w:t>
      </w:r>
      <w:r>
        <w:rPr>
          <w:rFonts w:ascii="Times New Roman" w:eastAsia="仿宋_GB2312"/>
          <w:sz w:val="32"/>
          <w:szCs w:val="32"/>
        </w:rPr>
        <w:t>万元，占</w:t>
      </w:r>
      <w:r>
        <w:rPr>
          <w:rFonts w:ascii="Times New Roman" w:eastAsia="仿宋_GB2312"/>
          <w:sz w:val="32"/>
          <w:szCs w:val="32"/>
        </w:rPr>
        <w:t>4.0%</w:t>
      </w:r>
      <w:r>
        <w:rPr>
          <w:rFonts w:ascii="Times New Roman" w:eastAsia="仿宋_GB2312"/>
          <w:sz w:val="32"/>
          <w:szCs w:val="32"/>
        </w:rPr>
        <w:t>，主要用于</w:t>
      </w:r>
      <w:r>
        <w:rPr>
          <w:rFonts w:ascii="Times New Roman" w:eastAsia="仿宋_GB2312" w:hint="eastAsia"/>
          <w:sz w:val="32"/>
          <w:szCs w:val="32"/>
        </w:rPr>
        <w:t>住房公积金等支出。</w:t>
      </w:r>
    </w:p>
    <w:p w:rsidR="00C37854" w:rsidRDefault="00E00414">
      <w:pPr>
        <w:widowControl/>
        <w:spacing w:line="360" w:lineRule="auto"/>
        <w:ind w:firstLineChars="200" w:firstLine="641"/>
        <w:jc w:val="left"/>
        <w:rPr>
          <w:rFonts w:ascii="Times New Roman" w:eastAsia="仿宋_GB2312"/>
          <w:b/>
          <w:sz w:val="32"/>
          <w:szCs w:val="32"/>
        </w:rPr>
      </w:pPr>
      <w:bookmarkStart w:id="1" w:name="OLE_LINK1"/>
      <w:bookmarkStart w:id="2" w:name="OLE_LINK2"/>
      <w:r>
        <w:rPr>
          <w:rFonts w:ascii="Times New Roman" w:eastAsia="仿宋_GB2312"/>
          <w:b/>
          <w:sz w:val="32"/>
          <w:szCs w:val="32"/>
        </w:rPr>
        <w:t>政府性基金预算财政拨款支出</w:t>
      </w:r>
      <w:bookmarkEnd w:id="1"/>
      <w:bookmarkEnd w:id="2"/>
      <w:r>
        <w:rPr>
          <w:rFonts w:ascii="Times New Roman" w:eastAsia="仿宋_GB2312"/>
          <w:b/>
          <w:sz w:val="32"/>
          <w:szCs w:val="32"/>
        </w:rPr>
        <w:t>：</w:t>
      </w:r>
    </w:p>
    <w:p w:rsidR="00C37854" w:rsidRDefault="005452DE">
      <w:pPr>
        <w:widowControl/>
        <w:spacing w:line="360" w:lineRule="auto"/>
        <w:ind w:firstLineChars="200" w:firstLine="640"/>
        <w:jc w:val="left"/>
        <w:rPr>
          <w:rFonts w:ascii="仿宋" w:eastAsia="仿宋" w:hAnsi="仿宋"/>
          <w:sz w:val="32"/>
          <w:szCs w:val="32"/>
        </w:rPr>
      </w:pPr>
      <w:r>
        <w:rPr>
          <w:rFonts w:ascii="仿宋" w:eastAsia="仿宋" w:hAnsi="仿宋" w:hint="eastAsia"/>
          <w:sz w:val="32"/>
          <w:szCs w:val="32"/>
        </w:rPr>
        <w:t>我单位</w:t>
      </w:r>
      <w:r w:rsidR="00E00414">
        <w:rPr>
          <w:rFonts w:ascii="仿宋" w:eastAsia="仿宋" w:hAnsi="仿宋" w:hint="eastAsia"/>
          <w:sz w:val="32"/>
          <w:szCs w:val="32"/>
        </w:rPr>
        <w:t>无</w:t>
      </w:r>
      <w:r w:rsidR="00E00414">
        <w:rPr>
          <w:rFonts w:ascii="仿宋" w:eastAsia="仿宋" w:hAnsi="仿宋"/>
          <w:sz w:val="32"/>
          <w:szCs w:val="32"/>
        </w:rPr>
        <w:t>政府性基金预算财政拨款支出</w:t>
      </w:r>
      <w:r w:rsidR="00E00414">
        <w:rPr>
          <w:rFonts w:ascii="仿宋" w:eastAsia="仿宋" w:hAnsi="仿宋" w:hint="eastAsia"/>
          <w:sz w:val="32"/>
          <w:szCs w:val="32"/>
        </w:rPr>
        <w:t>。</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国有资本经营预算财政拨款支出：</w:t>
      </w:r>
    </w:p>
    <w:p w:rsidR="00C37854" w:rsidRDefault="005452DE">
      <w:pPr>
        <w:widowControl/>
        <w:spacing w:line="360" w:lineRule="auto"/>
        <w:ind w:firstLineChars="200" w:firstLine="640"/>
        <w:jc w:val="left"/>
        <w:rPr>
          <w:rFonts w:ascii="Times New Roman" w:eastAsia="仿宋_GB2312"/>
          <w:sz w:val="32"/>
          <w:szCs w:val="32"/>
        </w:rPr>
      </w:pPr>
      <w:r>
        <w:rPr>
          <w:rFonts w:ascii="Times New Roman" w:eastAsia="仿宋_GB2312" w:hint="eastAsia"/>
          <w:sz w:val="32"/>
          <w:szCs w:val="32"/>
        </w:rPr>
        <w:lastRenderedPageBreak/>
        <w:t>我单位</w:t>
      </w:r>
      <w:r w:rsidR="00E00414">
        <w:rPr>
          <w:rFonts w:ascii="Times New Roman" w:eastAsia="仿宋_GB2312" w:hint="eastAsia"/>
          <w:sz w:val="32"/>
          <w:szCs w:val="32"/>
        </w:rPr>
        <w:t>无国有资本经营预算财政拨款支出。</w:t>
      </w:r>
    </w:p>
    <w:p w:rsidR="00C37854" w:rsidRDefault="00E00414">
      <w:pPr>
        <w:pStyle w:val="aa"/>
        <w:widowControl/>
        <w:spacing w:beforeAutospacing="0" w:afterAutospacing="0"/>
        <w:rPr>
          <w:rFonts w:ascii="Times New Roman" w:eastAsia="仿宋_GB2312" w:hAnsi="Times New Roman"/>
          <w:kern w:val="2"/>
          <w:sz w:val="32"/>
          <w:szCs w:val="32"/>
          <w:lang w:val="zh-CN"/>
        </w:rPr>
      </w:pPr>
      <w:r>
        <w:rPr>
          <w:rFonts w:ascii="Times New Roman" w:eastAsia="仿宋_GB2312" w:hAnsi="Times New Roman"/>
          <w:noProof/>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（四）一般公共预算基本支出决算情况说明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2024</w:t>
      </w:r>
      <w:r>
        <w:rPr>
          <w:rFonts w:ascii="Times New Roman" w:eastAsia="仿宋_GB2312"/>
          <w:sz w:val="32"/>
          <w:szCs w:val="32"/>
        </w:rPr>
        <w:t>年度财政拨款基本支出</w:t>
      </w:r>
      <w:r>
        <w:rPr>
          <w:rFonts w:ascii="Times New Roman" w:eastAsia="仿宋_GB2312"/>
          <w:sz w:val="32"/>
          <w:szCs w:val="32"/>
        </w:rPr>
        <w:t>137.55</w:t>
      </w:r>
      <w:r>
        <w:rPr>
          <w:rFonts w:ascii="Times New Roman" w:eastAsia="仿宋_GB2312"/>
          <w:sz w:val="32"/>
          <w:szCs w:val="32"/>
        </w:rPr>
        <w:t>万元，其中：</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人员经费</w:t>
      </w:r>
      <w:r>
        <w:rPr>
          <w:rFonts w:ascii="Times New Roman" w:eastAsia="仿宋_GB2312"/>
          <w:sz w:val="32"/>
          <w:szCs w:val="32"/>
        </w:rPr>
        <w:t>129.69</w:t>
      </w:r>
      <w:r>
        <w:rPr>
          <w:rFonts w:ascii="Times New Roman" w:eastAsia="仿宋_GB2312"/>
          <w:sz w:val="32"/>
          <w:szCs w:val="32"/>
        </w:rPr>
        <w:t>万元，主要包括基本工资、津贴补贴、奖金、伙食补助费、绩效工资、</w:t>
      </w:r>
      <w:bookmarkStart w:id="3" w:name="OLE_LINK3"/>
      <w:r>
        <w:rPr>
          <w:rFonts w:ascii="Times New Roman" w:eastAsia="仿宋_GB2312"/>
          <w:sz w:val="32"/>
          <w:szCs w:val="32"/>
        </w:rPr>
        <w:t>机关事业部门基本养老保险缴费、职业年金缴费、职工基本医疗保险缴费、公务员医疗补助缴费</w:t>
      </w:r>
      <w:bookmarkEnd w:id="3"/>
      <w:r>
        <w:rPr>
          <w:rFonts w:ascii="Times New Roman" w:eastAsia="仿宋_GB2312"/>
          <w:sz w:val="32"/>
          <w:szCs w:val="32"/>
        </w:rPr>
        <w:t>、</w:t>
      </w:r>
      <w:bookmarkStart w:id="4" w:name="OLE_LINK4"/>
      <w:r>
        <w:rPr>
          <w:rFonts w:ascii="Times New Roman" w:eastAsia="仿宋_GB2312"/>
          <w:sz w:val="32"/>
          <w:szCs w:val="32"/>
        </w:rPr>
        <w:t>住房公积金</w:t>
      </w:r>
      <w:bookmarkEnd w:id="4"/>
      <w:r>
        <w:rPr>
          <w:rFonts w:ascii="Times New Roman" w:eastAsia="仿宋_GB2312"/>
          <w:sz w:val="32"/>
          <w:szCs w:val="32"/>
        </w:rPr>
        <w:t>、医疗费、其他社会保障缴费、其他工资福利支出、离休费、</w:t>
      </w:r>
      <w:r>
        <w:rPr>
          <w:rFonts w:ascii="Times New Roman" w:eastAsia="仿宋_GB2312"/>
          <w:sz w:val="32"/>
          <w:szCs w:val="32"/>
        </w:rPr>
        <w:t xml:space="preserve"> </w:t>
      </w:r>
      <w:r>
        <w:rPr>
          <w:rFonts w:ascii="Times New Roman" w:eastAsia="仿宋_GB2312"/>
          <w:sz w:val="32"/>
          <w:szCs w:val="32"/>
        </w:rPr>
        <w:t>退休费、</w:t>
      </w:r>
      <w:r>
        <w:rPr>
          <w:rFonts w:ascii="Times New Roman" w:eastAsia="仿宋_GB2312"/>
          <w:sz w:val="32"/>
          <w:szCs w:val="32"/>
        </w:rPr>
        <w:t xml:space="preserve"> </w:t>
      </w:r>
      <w:r>
        <w:rPr>
          <w:rFonts w:ascii="Times New Roman" w:eastAsia="仿宋_GB2312"/>
          <w:sz w:val="32"/>
          <w:szCs w:val="32"/>
        </w:rPr>
        <w:t>抚恤金、生活补助、医疗费补助、奖励金、其他对个人和家庭的补助支出。</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公用经费</w:t>
      </w:r>
      <w:r>
        <w:rPr>
          <w:rFonts w:ascii="Times New Roman" w:eastAsia="仿宋_GB2312"/>
          <w:sz w:val="32"/>
          <w:szCs w:val="32"/>
        </w:rPr>
        <w:t>7.86</w:t>
      </w:r>
      <w:r>
        <w:rPr>
          <w:rFonts w:ascii="Times New Roman" w:eastAsia="仿宋_GB2312"/>
          <w:sz w:val="32"/>
          <w:szCs w:val="32"/>
        </w:rPr>
        <w:t>万元，主要包括办公费、印刷费、咨询费、手续费、水费、电费、邮电费、取</w:t>
      </w:r>
      <w:r>
        <w:rPr>
          <w:rFonts w:ascii="Times New Roman" w:eastAsia="仿宋_GB2312"/>
          <w:sz w:val="32"/>
          <w:szCs w:val="32"/>
        </w:rPr>
        <w:t xml:space="preserve"> </w:t>
      </w:r>
      <w:r>
        <w:rPr>
          <w:rFonts w:ascii="Times New Roman" w:eastAsia="仿宋_GB2312"/>
          <w:sz w:val="32"/>
          <w:szCs w:val="32"/>
        </w:rPr>
        <w:t>暖费、物业管理费、差旅费、因公出国（境）费用、维修（护）费、租赁费、会议费、培训费、</w:t>
      </w:r>
      <w:r>
        <w:rPr>
          <w:rFonts w:ascii="Times New Roman" w:eastAsia="仿宋_GB2312"/>
          <w:sz w:val="32"/>
          <w:szCs w:val="32"/>
        </w:rPr>
        <w:lastRenderedPageBreak/>
        <w:t>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五、财政拨款</w:t>
      </w:r>
      <w:r>
        <w:rPr>
          <w:rFonts w:ascii="Times New Roman" w:eastAsia="黑体"/>
          <w:sz w:val="32"/>
          <w:szCs w:val="32"/>
        </w:rPr>
        <w:t>“</w:t>
      </w:r>
      <w:r>
        <w:rPr>
          <w:rFonts w:ascii="Times New Roman" w:eastAsia="黑体"/>
          <w:sz w:val="32"/>
          <w:szCs w:val="32"/>
        </w:rPr>
        <w:t>三公</w:t>
      </w:r>
      <w:r>
        <w:rPr>
          <w:rFonts w:ascii="Times New Roman" w:eastAsia="黑体"/>
          <w:sz w:val="32"/>
          <w:szCs w:val="32"/>
        </w:rPr>
        <w:t>”</w:t>
      </w:r>
      <w:r>
        <w:rPr>
          <w:rFonts w:ascii="Times New Roman" w:eastAsia="黑体"/>
          <w:sz w:val="32"/>
          <w:szCs w:val="32"/>
        </w:rPr>
        <w:t xml:space="preserve"> </w:t>
      </w:r>
      <w:r>
        <w:rPr>
          <w:rFonts w:ascii="Times New Roman" w:eastAsia="黑体"/>
          <w:sz w:val="32"/>
          <w:szCs w:val="32"/>
        </w:rPr>
        <w:t>经费支出决算情况说明</w:t>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（一）</w:t>
      </w:r>
      <w:r>
        <w:rPr>
          <w:rFonts w:ascii="Times New Roman" w:eastAsia="楷体_GB2312"/>
          <w:b/>
          <w:sz w:val="32"/>
          <w:szCs w:val="32"/>
        </w:rPr>
        <w:t>“</w:t>
      </w:r>
      <w:r>
        <w:rPr>
          <w:rFonts w:ascii="Times New Roman" w:eastAsia="楷体_GB2312"/>
          <w:b/>
          <w:sz w:val="32"/>
          <w:szCs w:val="32"/>
        </w:rPr>
        <w:t>三公</w:t>
      </w:r>
      <w:r>
        <w:rPr>
          <w:rFonts w:ascii="Times New Roman" w:eastAsia="楷体_GB2312"/>
          <w:b/>
          <w:sz w:val="32"/>
          <w:szCs w:val="32"/>
        </w:rPr>
        <w:t>”</w:t>
      </w:r>
      <w:r>
        <w:rPr>
          <w:rFonts w:ascii="Times New Roman" w:eastAsia="楷体_GB2312"/>
          <w:b/>
          <w:sz w:val="32"/>
          <w:szCs w:val="32"/>
        </w:rPr>
        <w:t>经费财政拨款支出决算总体情况说明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经费财政拨款支出预算为</w:t>
      </w:r>
      <w:r>
        <w:rPr>
          <w:rFonts w:ascii="Times New Roman" w:eastAsia="仿宋_GB2312" w:hint="eastAsia"/>
          <w:sz w:val="32"/>
          <w:szCs w:val="32"/>
        </w:rPr>
        <w:t>0</w:t>
      </w:r>
      <w:r>
        <w:rPr>
          <w:rFonts w:ascii="Times New Roman" w:eastAsia="仿宋_GB2312"/>
          <w:sz w:val="32"/>
          <w:szCs w:val="32"/>
        </w:rPr>
        <w:t>万元，支出决算为</w:t>
      </w:r>
      <w:r>
        <w:rPr>
          <w:rFonts w:ascii="Times New Roman" w:eastAsia="仿宋_GB2312" w:hint="eastAsia"/>
          <w:sz w:val="32"/>
          <w:szCs w:val="32"/>
        </w:rPr>
        <w:t>0</w:t>
      </w:r>
      <w:r>
        <w:rPr>
          <w:rFonts w:ascii="Times New Roman" w:eastAsia="仿宋_GB2312"/>
          <w:sz w:val="32"/>
          <w:szCs w:val="32"/>
        </w:rPr>
        <w:t>万元，完成预算的</w:t>
      </w:r>
      <w:r>
        <w:rPr>
          <w:rFonts w:ascii="Times New Roman" w:eastAsia="仿宋_GB2312" w:hint="eastAsia"/>
          <w:sz w:val="32"/>
          <w:szCs w:val="32"/>
        </w:rPr>
        <w:t>100</w:t>
      </w:r>
      <w:r>
        <w:rPr>
          <w:rFonts w:ascii="Times New Roman" w:eastAsia="仿宋_GB2312"/>
          <w:sz w:val="32"/>
          <w:szCs w:val="32"/>
        </w:rPr>
        <w:t>%</w:t>
      </w:r>
      <w:r>
        <w:rPr>
          <w:rFonts w:ascii="Times New Roman" w:eastAsia="仿宋_GB2312"/>
          <w:sz w:val="32"/>
          <w:szCs w:val="32"/>
        </w:rPr>
        <w:t>，较预算增加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严格执行预算，无预算不支出</w:t>
      </w:r>
      <w:r>
        <w:rPr>
          <w:rFonts w:ascii="Times New Roman" w:eastAsia="仿宋_GB2312"/>
          <w:sz w:val="32"/>
          <w:szCs w:val="32"/>
        </w:rPr>
        <w:t>；较</w:t>
      </w:r>
      <w:r>
        <w:rPr>
          <w:rFonts w:ascii="Times New Roman" w:eastAsia="仿宋_GB2312"/>
          <w:sz w:val="32"/>
          <w:szCs w:val="32"/>
        </w:rPr>
        <w:t>2023</w:t>
      </w:r>
      <w:r>
        <w:rPr>
          <w:rFonts w:ascii="Times New Roman" w:eastAsia="仿宋_GB2312"/>
          <w:sz w:val="32"/>
          <w:szCs w:val="32"/>
        </w:rPr>
        <w:t>年度决算增加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w:t>
      </w:r>
      <w:r>
        <w:rPr>
          <w:rFonts w:ascii="Times New Roman" w:eastAsia="仿宋_GB2312" w:hint="eastAsia"/>
          <w:sz w:val="32"/>
          <w:szCs w:val="32"/>
        </w:rPr>
        <w:t>严格执行预算，无预算不支出</w:t>
      </w:r>
      <w:r>
        <w:rPr>
          <w:rFonts w:ascii="Times New Roman" w:eastAsia="仿宋_GB2312"/>
          <w:sz w:val="32"/>
          <w:szCs w:val="32"/>
        </w:rPr>
        <w:t>。</w:t>
      </w:r>
    </w:p>
    <w:p w:rsidR="00C37854" w:rsidRDefault="00E00414">
      <w:pPr>
        <w:widowControl/>
        <w:spacing w:line="360" w:lineRule="auto"/>
        <w:ind w:firstLineChars="200" w:firstLine="641"/>
        <w:jc w:val="left"/>
        <w:rPr>
          <w:rFonts w:ascii="Times New Roman" w:eastAsia="楷体_GB2312"/>
          <w:sz w:val="32"/>
          <w:szCs w:val="32"/>
        </w:rPr>
      </w:pPr>
      <w:r>
        <w:rPr>
          <w:rFonts w:ascii="Times New Roman" w:eastAsia="楷体_GB2312"/>
          <w:b/>
          <w:sz w:val="32"/>
          <w:szCs w:val="32"/>
        </w:rPr>
        <w:t>（二）</w:t>
      </w:r>
      <w:r>
        <w:rPr>
          <w:rFonts w:ascii="Times New Roman" w:eastAsia="楷体_GB2312"/>
          <w:b/>
          <w:sz w:val="32"/>
          <w:szCs w:val="32"/>
        </w:rPr>
        <w:t>“</w:t>
      </w:r>
      <w:r>
        <w:rPr>
          <w:rFonts w:ascii="Times New Roman" w:eastAsia="楷体_GB2312"/>
          <w:b/>
          <w:sz w:val="32"/>
          <w:szCs w:val="32"/>
        </w:rPr>
        <w:t>三公</w:t>
      </w:r>
      <w:r>
        <w:rPr>
          <w:rFonts w:ascii="Times New Roman" w:eastAsia="楷体_GB2312"/>
          <w:b/>
          <w:sz w:val="32"/>
          <w:szCs w:val="32"/>
        </w:rPr>
        <w:t>”</w:t>
      </w:r>
      <w:r>
        <w:rPr>
          <w:rFonts w:ascii="Times New Roman" w:eastAsia="楷体_GB2312"/>
          <w:b/>
          <w:sz w:val="32"/>
          <w:szCs w:val="32"/>
        </w:rPr>
        <w:t>经费财政拨款支出决算具体情况说明</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楷体_GB2312"/>
          <w:b/>
          <w:sz w:val="32"/>
          <w:szCs w:val="32"/>
        </w:rPr>
        <w:t>1.</w:t>
      </w:r>
      <w:r>
        <w:rPr>
          <w:rFonts w:ascii="Times New Roman" w:eastAsia="楷体_GB2312"/>
          <w:b/>
          <w:sz w:val="32"/>
          <w:szCs w:val="32"/>
        </w:rPr>
        <w:t>因公出国（境）费支出情况。</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年度因公出国（境）费支出预算为</w:t>
      </w:r>
      <w:r>
        <w:rPr>
          <w:rFonts w:ascii="Times New Roman" w:eastAsia="仿宋_GB2312" w:hint="eastAsia"/>
          <w:sz w:val="32"/>
          <w:szCs w:val="32"/>
        </w:rPr>
        <w:t>0</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支出决算</w:t>
      </w:r>
      <w:r>
        <w:rPr>
          <w:rFonts w:ascii="Times New Roman" w:eastAsia="仿宋_GB2312" w:hint="eastAsia"/>
          <w:sz w:val="32"/>
          <w:szCs w:val="32"/>
        </w:rPr>
        <w:t>0</w:t>
      </w:r>
      <w:r>
        <w:rPr>
          <w:rFonts w:ascii="Times New Roman" w:eastAsia="仿宋_GB2312"/>
          <w:sz w:val="32"/>
          <w:szCs w:val="32"/>
        </w:rPr>
        <w:t>万元。完成预算的</w:t>
      </w:r>
      <w:r>
        <w:rPr>
          <w:rFonts w:ascii="Times New Roman" w:eastAsia="仿宋_GB2312" w:hint="eastAsia"/>
          <w:sz w:val="32"/>
          <w:szCs w:val="32"/>
        </w:rPr>
        <w:t>100</w:t>
      </w:r>
      <w:r>
        <w:rPr>
          <w:rFonts w:ascii="Times New Roman" w:eastAsia="仿宋_GB2312"/>
          <w:sz w:val="32"/>
          <w:szCs w:val="32"/>
        </w:rPr>
        <w:t>%</w:t>
      </w:r>
      <w:r>
        <w:rPr>
          <w:rFonts w:ascii="Times New Roman" w:eastAsia="仿宋_GB2312"/>
          <w:sz w:val="32"/>
          <w:szCs w:val="32"/>
        </w:rPr>
        <w:t>。因公出国（境）费支出较预算增加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无本单位组织的出国（境）团组</w:t>
      </w:r>
      <w:r>
        <w:rPr>
          <w:rFonts w:ascii="Times New Roman" w:eastAsia="仿宋_GB2312"/>
          <w:sz w:val="32"/>
          <w:szCs w:val="32"/>
        </w:rPr>
        <w:t>；较上年增加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无本单位组织的出国（境）团组</w:t>
      </w:r>
      <w:r>
        <w:rPr>
          <w:rFonts w:ascii="Times New Roman" w:eastAsia="仿宋_GB2312"/>
          <w:sz w:val="32"/>
          <w:szCs w:val="32"/>
        </w:rPr>
        <w:t>。因公出国（境）团组</w:t>
      </w:r>
      <w:r>
        <w:rPr>
          <w:rFonts w:ascii="Times New Roman" w:eastAsia="仿宋_GB2312"/>
          <w:sz w:val="32"/>
          <w:szCs w:val="32"/>
        </w:rPr>
        <w:t>0</w:t>
      </w:r>
      <w:r>
        <w:rPr>
          <w:rFonts w:ascii="Times New Roman" w:eastAsia="仿宋_GB2312"/>
          <w:sz w:val="32"/>
          <w:szCs w:val="32"/>
        </w:rPr>
        <w:t>个、共</w:t>
      </w:r>
      <w:r>
        <w:rPr>
          <w:rFonts w:ascii="Times New Roman" w:eastAsia="仿宋_GB2312"/>
          <w:sz w:val="32"/>
          <w:szCs w:val="32"/>
        </w:rPr>
        <w:t>0</w:t>
      </w:r>
      <w:r>
        <w:rPr>
          <w:rFonts w:ascii="Times New Roman" w:eastAsia="仿宋_GB2312"/>
          <w:sz w:val="32"/>
          <w:szCs w:val="32"/>
        </w:rPr>
        <w:t>人、参加其他单位组织的因公出国（境）团组</w:t>
      </w:r>
      <w:r>
        <w:rPr>
          <w:rFonts w:ascii="Times New Roman" w:eastAsia="仿宋_GB2312" w:hint="eastAsia"/>
          <w:sz w:val="32"/>
          <w:szCs w:val="32"/>
        </w:rPr>
        <w:t>0</w:t>
      </w:r>
      <w:r>
        <w:rPr>
          <w:rFonts w:ascii="Times New Roman" w:eastAsia="仿宋_GB2312"/>
          <w:sz w:val="32"/>
          <w:szCs w:val="32"/>
        </w:rPr>
        <w:t>个、共</w:t>
      </w:r>
      <w:r>
        <w:rPr>
          <w:rFonts w:ascii="Times New Roman" w:eastAsia="仿宋_GB2312" w:hint="eastAsia"/>
          <w:sz w:val="32"/>
          <w:szCs w:val="32"/>
        </w:rPr>
        <w:t>0</w:t>
      </w:r>
      <w:r>
        <w:rPr>
          <w:rFonts w:ascii="Times New Roman" w:eastAsia="仿宋_GB2312"/>
          <w:sz w:val="32"/>
          <w:szCs w:val="32"/>
        </w:rPr>
        <w:t>人</w:t>
      </w:r>
      <w:r>
        <w:rPr>
          <w:rFonts w:ascii="Times New Roman" w:eastAsia="仿宋_GB2312"/>
          <w:sz w:val="32"/>
          <w:szCs w:val="32"/>
        </w:rPr>
        <w:t>/</w:t>
      </w:r>
      <w:r>
        <w:rPr>
          <w:rFonts w:ascii="Times New Roman" w:eastAsia="仿宋_GB2312"/>
          <w:sz w:val="32"/>
          <w:szCs w:val="32"/>
        </w:rPr>
        <w:t>无本部门组织的出国（境）团组。</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楷体_GB2312"/>
          <w:b/>
          <w:sz w:val="32"/>
          <w:szCs w:val="32"/>
        </w:rPr>
        <w:lastRenderedPageBreak/>
        <w:t>2.</w:t>
      </w:r>
      <w:r>
        <w:rPr>
          <w:rFonts w:ascii="Times New Roman" w:eastAsia="楷体_GB2312"/>
          <w:b/>
          <w:sz w:val="32"/>
          <w:szCs w:val="32"/>
        </w:rPr>
        <w:t>公务用车购置及运行维护费支出情况。</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年度公务用车购置及运行维护费预算为</w:t>
      </w:r>
      <w:r>
        <w:rPr>
          <w:rFonts w:ascii="Times New Roman" w:eastAsia="仿宋_GB2312" w:hint="eastAsia"/>
          <w:sz w:val="32"/>
          <w:szCs w:val="32"/>
        </w:rPr>
        <w:t>0</w:t>
      </w:r>
      <w:r>
        <w:rPr>
          <w:rFonts w:ascii="Times New Roman" w:eastAsia="仿宋_GB2312"/>
          <w:sz w:val="32"/>
          <w:szCs w:val="32"/>
        </w:rPr>
        <w:t>万元，支出决算</w:t>
      </w:r>
      <w:r>
        <w:rPr>
          <w:rFonts w:ascii="Times New Roman" w:eastAsia="仿宋_GB2312" w:hint="eastAsia"/>
          <w:sz w:val="32"/>
          <w:szCs w:val="32"/>
        </w:rPr>
        <w:t>0</w:t>
      </w:r>
      <w:r>
        <w:rPr>
          <w:rFonts w:ascii="Times New Roman" w:eastAsia="仿宋_GB2312"/>
          <w:sz w:val="32"/>
          <w:szCs w:val="32"/>
        </w:rPr>
        <w:t>万元，完成预算的</w:t>
      </w:r>
      <w:r>
        <w:rPr>
          <w:rFonts w:ascii="Times New Roman" w:eastAsia="仿宋_GB2312" w:hint="eastAsia"/>
          <w:sz w:val="32"/>
          <w:szCs w:val="32"/>
        </w:rPr>
        <w:t>100</w:t>
      </w:r>
      <w:r>
        <w:rPr>
          <w:rFonts w:ascii="Times New Roman" w:eastAsia="仿宋_GB2312"/>
          <w:sz w:val="32"/>
          <w:szCs w:val="32"/>
        </w:rPr>
        <w:t>%,</w:t>
      </w:r>
      <w:r>
        <w:rPr>
          <w:rFonts w:ascii="Times New Roman" w:eastAsia="仿宋_GB2312"/>
          <w:sz w:val="32"/>
          <w:szCs w:val="32"/>
        </w:rPr>
        <w:t>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严格执行预算，无预算不支出</w:t>
      </w:r>
      <w:r>
        <w:rPr>
          <w:rFonts w:ascii="Times New Roman" w:eastAsia="仿宋_GB2312"/>
          <w:sz w:val="32"/>
          <w:szCs w:val="32"/>
        </w:rPr>
        <w:t>；</w:t>
      </w:r>
      <w:r>
        <w:rPr>
          <w:rFonts w:ascii="Times New Roman" w:eastAsia="仿宋_GB2312" w:hint="eastAsia"/>
          <w:sz w:val="32"/>
          <w:szCs w:val="32"/>
        </w:rPr>
        <w:t>本单位无公务用车</w:t>
      </w:r>
      <w:r>
        <w:rPr>
          <w:rFonts w:ascii="Times New Roman" w:eastAsia="仿宋_GB2312"/>
          <w:sz w:val="32"/>
          <w:szCs w:val="32"/>
        </w:rPr>
        <w:t>较上年增加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严格执行预算，无预算不支出</w:t>
      </w:r>
      <w:r>
        <w:rPr>
          <w:rFonts w:ascii="Times New Roman" w:eastAsia="仿宋_GB2312"/>
          <w:sz w:val="32"/>
          <w:szCs w:val="32"/>
        </w:rPr>
        <w:t>。其中：</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公务用车购置费支出</w:t>
      </w:r>
      <w:r>
        <w:rPr>
          <w:rFonts w:ascii="Times New Roman" w:eastAsia="仿宋_GB2312" w:hint="eastAsia"/>
          <w:b/>
          <w:sz w:val="32"/>
          <w:szCs w:val="32"/>
        </w:rPr>
        <w:t>0</w:t>
      </w:r>
      <w:r>
        <w:rPr>
          <w:rFonts w:ascii="Times New Roman" w:eastAsia="仿宋_GB2312"/>
          <w:b/>
          <w:sz w:val="32"/>
          <w:szCs w:val="32"/>
        </w:rPr>
        <w:t>万元：</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年度公务用车购置量</w:t>
      </w:r>
      <w:r>
        <w:rPr>
          <w:rFonts w:ascii="Times New Roman" w:eastAsia="仿宋_GB2312"/>
          <w:sz w:val="32"/>
          <w:szCs w:val="32"/>
        </w:rPr>
        <w:t>0</w:t>
      </w:r>
      <w:r>
        <w:rPr>
          <w:rFonts w:ascii="Times New Roman" w:eastAsia="仿宋_GB2312"/>
          <w:sz w:val="32"/>
          <w:szCs w:val="32"/>
        </w:rPr>
        <w:t>辆，发生</w:t>
      </w:r>
      <w:r>
        <w:rPr>
          <w:rFonts w:ascii="Times New Roman" w:eastAsia="仿宋_GB2312"/>
          <w:sz w:val="32"/>
          <w:szCs w:val="32"/>
        </w:rPr>
        <w:t>“</w:t>
      </w:r>
      <w:r>
        <w:rPr>
          <w:rFonts w:ascii="Times New Roman" w:eastAsia="仿宋_GB2312"/>
          <w:sz w:val="32"/>
          <w:szCs w:val="32"/>
        </w:rPr>
        <w:t>公务用车购置</w:t>
      </w:r>
      <w:r>
        <w:rPr>
          <w:rFonts w:ascii="Times New Roman" w:eastAsia="仿宋_GB2312"/>
          <w:sz w:val="32"/>
          <w:szCs w:val="32"/>
        </w:rPr>
        <w:t>”</w:t>
      </w:r>
      <w:r>
        <w:rPr>
          <w:rFonts w:ascii="Times New Roman" w:eastAsia="仿宋_GB2312"/>
          <w:sz w:val="32"/>
          <w:szCs w:val="32"/>
        </w:rPr>
        <w:t>经费支出</w:t>
      </w:r>
      <w:r>
        <w:rPr>
          <w:rFonts w:ascii="Times New Roman" w:eastAsia="仿宋_GB2312" w:hint="eastAsia"/>
          <w:sz w:val="32"/>
          <w:szCs w:val="32"/>
        </w:rPr>
        <w:t>0</w:t>
      </w:r>
      <w:r>
        <w:rPr>
          <w:rFonts w:ascii="Times New Roman" w:eastAsia="仿宋_GB2312"/>
          <w:sz w:val="32"/>
          <w:szCs w:val="32"/>
        </w:rPr>
        <w:t>万元。公务用车购置费支出较预算增加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严格执行预算，无预算不支出</w:t>
      </w:r>
      <w:r>
        <w:rPr>
          <w:rFonts w:ascii="Times New Roman" w:eastAsia="仿宋_GB2312"/>
          <w:sz w:val="32"/>
          <w:szCs w:val="32"/>
        </w:rPr>
        <w:t>；较上年增加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严格执行预算，无预算不支出</w:t>
      </w:r>
      <w:r>
        <w:rPr>
          <w:rFonts w:ascii="Times New Roman" w:eastAsia="仿宋_GB2312"/>
          <w:sz w:val="32"/>
          <w:szCs w:val="32"/>
        </w:rPr>
        <w:t>。</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公务用车运行维护费支出</w:t>
      </w:r>
      <w:r>
        <w:rPr>
          <w:rFonts w:ascii="Times New Roman" w:eastAsia="仿宋_GB2312" w:hint="eastAsia"/>
          <w:b/>
          <w:sz w:val="32"/>
          <w:szCs w:val="32"/>
        </w:rPr>
        <w:t>0</w:t>
      </w:r>
      <w:r>
        <w:rPr>
          <w:rFonts w:ascii="Times New Roman" w:eastAsia="仿宋_GB2312"/>
          <w:b/>
          <w:sz w:val="32"/>
          <w:szCs w:val="32"/>
        </w:rPr>
        <w:t>万元：</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年度单位公务用车保有量</w:t>
      </w:r>
      <w:r>
        <w:rPr>
          <w:rFonts w:ascii="Times New Roman" w:eastAsia="仿宋_GB2312"/>
          <w:sz w:val="32"/>
          <w:szCs w:val="32"/>
        </w:rPr>
        <w:t>0</w:t>
      </w:r>
      <w:r>
        <w:rPr>
          <w:rFonts w:ascii="Times New Roman" w:eastAsia="仿宋_GB2312"/>
          <w:sz w:val="32"/>
          <w:szCs w:val="32"/>
        </w:rPr>
        <w:t>辆，发生运行维护费支出</w:t>
      </w:r>
      <w:r>
        <w:rPr>
          <w:rFonts w:ascii="Times New Roman" w:eastAsia="仿宋_GB2312" w:hint="eastAsia"/>
          <w:sz w:val="32"/>
          <w:szCs w:val="32"/>
        </w:rPr>
        <w:t>0</w:t>
      </w:r>
      <w:r>
        <w:rPr>
          <w:rFonts w:ascii="Times New Roman" w:eastAsia="仿宋_GB2312"/>
          <w:sz w:val="32"/>
          <w:szCs w:val="32"/>
        </w:rPr>
        <w:t>万元。公车运行维护费支出较预算增加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本单位无公务用车</w:t>
      </w:r>
      <w:r>
        <w:rPr>
          <w:rFonts w:ascii="Times New Roman" w:eastAsia="仿宋_GB2312"/>
          <w:sz w:val="32"/>
          <w:szCs w:val="32"/>
        </w:rPr>
        <w:t>；较上年增加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本单位无公务用车</w:t>
      </w:r>
      <w:r>
        <w:rPr>
          <w:rFonts w:ascii="Times New Roman" w:eastAsia="仿宋_GB2312"/>
          <w:sz w:val="32"/>
          <w:szCs w:val="32"/>
        </w:rPr>
        <w:t>。</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楷体_GB2312"/>
          <w:b/>
          <w:sz w:val="32"/>
          <w:szCs w:val="32"/>
        </w:rPr>
        <w:t>3.</w:t>
      </w:r>
      <w:r>
        <w:rPr>
          <w:rFonts w:ascii="Times New Roman" w:eastAsia="楷体_GB2312"/>
          <w:b/>
          <w:sz w:val="32"/>
          <w:szCs w:val="32"/>
        </w:rPr>
        <w:t>公务接待费支出情况。</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年度公务接待费支出预算为</w:t>
      </w:r>
      <w:r>
        <w:rPr>
          <w:rFonts w:ascii="Times New Roman" w:eastAsia="仿宋_GB2312" w:hint="eastAsia"/>
          <w:sz w:val="32"/>
          <w:szCs w:val="32"/>
        </w:rPr>
        <w:t>0</w:t>
      </w:r>
      <w:r>
        <w:rPr>
          <w:rFonts w:ascii="Times New Roman" w:eastAsia="仿宋_GB2312"/>
          <w:sz w:val="32"/>
          <w:szCs w:val="32"/>
        </w:rPr>
        <w:t>万元，支出决算</w:t>
      </w:r>
      <w:r>
        <w:rPr>
          <w:rFonts w:ascii="Times New Roman" w:eastAsia="仿宋_GB2312" w:hint="eastAsia"/>
          <w:sz w:val="32"/>
          <w:szCs w:val="32"/>
        </w:rPr>
        <w:t>0</w:t>
      </w:r>
      <w:r>
        <w:rPr>
          <w:rFonts w:ascii="Times New Roman" w:eastAsia="仿宋_GB2312"/>
          <w:sz w:val="32"/>
          <w:szCs w:val="32"/>
        </w:rPr>
        <w:t>万元，完成预算的</w:t>
      </w:r>
      <w:r>
        <w:rPr>
          <w:rFonts w:ascii="Times New Roman" w:eastAsia="仿宋_GB2312" w:hint="eastAsia"/>
          <w:sz w:val="32"/>
          <w:szCs w:val="32"/>
        </w:rPr>
        <w:t>100</w:t>
      </w:r>
      <w:r>
        <w:rPr>
          <w:rFonts w:ascii="Times New Roman" w:eastAsia="仿宋_GB2312"/>
          <w:sz w:val="32"/>
          <w:szCs w:val="32"/>
        </w:rPr>
        <w:t>%</w:t>
      </w:r>
      <w:r>
        <w:rPr>
          <w:rFonts w:ascii="Times New Roman" w:eastAsia="仿宋_GB2312"/>
          <w:sz w:val="32"/>
          <w:szCs w:val="32"/>
        </w:rPr>
        <w:t>。公务接待费支出较预算增加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未发生公务接待经费支出</w:t>
      </w:r>
      <w:r>
        <w:rPr>
          <w:rFonts w:ascii="Times New Roman" w:eastAsia="仿宋_GB2312"/>
          <w:sz w:val="32"/>
          <w:szCs w:val="32"/>
        </w:rPr>
        <w:t>；较上年度增加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未发生公务接待经费支出</w:t>
      </w:r>
      <w:r>
        <w:rPr>
          <w:rFonts w:ascii="Times New Roman" w:eastAsia="仿宋_GB2312"/>
          <w:sz w:val="32"/>
          <w:szCs w:val="32"/>
        </w:rPr>
        <w:t>。本年度共发生公务接待</w:t>
      </w:r>
      <w:r>
        <w:rPr>
          <w:rFonts w:ascii="Times New Roman" w:eastAsia="仿宋_GB2312"/>
          <w:sz w:val="32"/>
          <w:szCs w:val="32"/>
        </w:rPr>
        <w:t>0</w:t>
      </w:r>
      <w:r>
        <w:rPr>
          <w:rFonts w:ascii="Times New Roman" w:eastAsia="仿宋_GB2312"/>
          <w:sz w:val="32"/>
          <w:szCs w:val="32"/>
        </w:rPr>
        <w:t>批次、</w:t>
      </w:r>
      <w:r>
        <w:rPr>
          <w:rFonts w:ascii="Times New Roman" w:eastAsia="仿宋_GB2312"/>
          <w:sz w:val="32"/>
          <w:szCs w:val="32"/>
        </w:rPr>
        <w:t>0</w:t>
      </w:r>
      <w:r>
        <w:rPr>
          <w:rFonts w:ascii="Times New Roman" w:eastAsia="仿宋_GB2312"/>
          <w:sz w:val="32"/>
          <w:szCs w:val="32"/>
        </w:rPr>
        <w:t>人次。</w:t>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lastRenderedPageBreak/>
        <w:t>六、机关运行经费支出说明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年度机关运行经费支出</w:t>
      </w:r>
      <w:r>
        <w:rPr>
          <w:rFonts w:ascii="Times New Roman" w:eastAsia="仿宋_GB2312" w:hint="eastAsia"/>
          <w:sz w:val="32"/>
          <w:szCs w:val="32"/>
        </w:rPr>
        <w:t>0</w:t>
      </w:r>
      <w:r>
        <w:rPr>
          <w:rFonts w:ascii="Times New Roman" w:eastAsia="仿宋_GB2312"/>
          <w:sz w:val="32"/>
          <w:szCs w:val="32"/>
        </w:rPr>
        <w:t>万元，较</w:t>
      </w:r>
      <w:r>
        <w:rPr>
          <w:rFonts w:ascii="Times New Roman" w:eastAsia="仿宋_GB2312"/>
          <w:sz w:val="32"/>
          <w:szCs w:val="32"/>
        </w:rPr>
        <w:t>2023</w:t>
      </w:r>
      <w:r>
        <w:rPr>
          <w:rFonts w:ascii="Times New Roman" w:eastAsia="仿宋_GB2312"/>
          <w:sz w:val="32"/>
          <w:szCs w:val="32"/>
        </w:rPr>
        <w:t>年度增加</w:t>
      </w:r>
      <w:r>
        <w:rPr>
          <w:rFonts w:ascii="Times New Roman" w:eastAsia="仿宋_GB2312" w:hint="eastAsia"/>
          <w:sz w:val="32"/>
          <w:szCs w:val="32"/>
        </w:rPr>
        <w:t>0</w:t>
      </w:r>
      <w:r>
        <w:rPr>
          <w:rFonts w:ascii="Times New Roman" w:eastAsia="仿宋_GB2312"/>
          <w:sz w:val="32"/>
          <w:szCs w:val="32"/>
        </w:rPr>
        <w:t>万元，增长</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。主要原因是</w:t>
      </w:r>
      <w:r>
        <w:rPr>
          <w:rFonts w:ascii="Times New Roman" w:eastAsia="仿宋_GB2312" w:hint="eastAsia"/>
          <w:sz w:val="32"/>
          <w:szCs w:val="32"/>
        </w:rPr>
        <w:t>我单位为事业单位，无机关运行费</w:t>
      </w:r>
      <w:r>
        <w:rPr>
          <w:rFonts w:ascii="Times New Roman" w:eastAsia="仿宋_GB2312"/>
          <w:sz w:val="32"/>
          <w:szCs w:val="32"/>
        </w:rPr>
        <w:t>。</w:t>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七、政府采购支出说明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年度政府采购支出总额</w:t>
      </w:r>
      <w:r>
        <w:rPr>
          <w:rFonts w:ascii="Times New Roman" w:eastAsia="仿宋_GB2312" w:hint="eastAsia"/>
          <w:sz w:val="32"/>
          <w:szCs w:val="32"/>
        </w:rPr>
        <w:t>0</w:t>
      </w:r>
      <w:r>
        <w:rPr>
          <w:rFonts w:ascii="Times New Roman" w:eastAsia="仿宋_GB2312"/>
          <w:sz w:val="32"/>
          <w:szCs w:val="32"/>
        </w:rPr>
        <w:t>万元，从采购类型来看，政府采购货物支出</w:t>
      </w:r>
      <w:r>
        <w:rPr>
          <w:rFonts w:ascii="Times New Roman" w:eastAsia="仿宋_GB2312" w:hint="eastAsia"/>
          <w:sz w:val="32"/>
          <w:szCs w:val="32"/>
        </w:rPr>
        <w:t>0</w:t>
      </w:r>
      <w:r>
        <w:rPr>
          <w:rFonts w:ascii="Times New Roman" w:eastAsia="仿宋_GB2312"/>
          <w:sz w:val="32"/>
          <w:szCs w:val="32"/>
        </w:rPr>
        <w:t>万元、政府采购工程支出</w:t>
      </w:r>
      <w:r>
        <w:rPr>
          <w:rFonts w:ascii="Times New Roman" w:eastAsia="仿宋_GB2312" w:hint="eastAsia"/>
          <w:sz w:val="32"/>
          <w:szCs w:val="32"/>
        </w:rPr>
        <w:t>0</w:t>
      </w:r>
      <w:r>
        <w:rPr>
          <w:rFonts w:ascii="Times New Roman" w:eastAsia="仿宋_GB2312"/>
          <w:sz w:val="32"/>
          <w:szCs w:val="32"/>
        </w:rPr>
        <w:t>万元、政府采购服务支出</w:t>
      </w:r>
      <w:r>
        <w:rPr>
          <w:rFonts w:ascii="Times New Roman" w:eastAsia="仿宋_GB2312" w:hint="eastAsia"/>
          <w:sz w:val="32"/>
          <w:szCs w:val="32"/>
        </w:rPr>
        <w:t>0</w:t>
      </w:r>
      <w:r>
        <w:rPr>
          <w:rFonts w:ascii="Times New Roman" w:eastAsia="仿宋_GB2312"/>
          <w:sz w:val="32"/>
          <w:szCs w:val="32"/>
        </w:rPr>
        <w:t>万元。授予中小企业合同金额</w:t>
      </w:r>
      <w:r>
        <w:rPr>
          <w:rFonts w:ascii="Times New Roman" w:eastAsia="仿宋_GB2312" w:hint="eastAsia"/>
          <w:sz w:val="32"/>
          <w:szCs w:val="32"/>
        </w:rPr>
        <w:t>0</w:t>
      </w:r>
      <w:r>
        <w:rPr>
          <w:rFonts w:ascii="Times New Roman" w:eastAsia="仿宋_GB2312"/>
          <w:sz w:val="32"/>
          <w:szCs w:val="32"/>
        </w:rPr>
        <w:t>万元，占政府采购支出总额的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，其中授予小微企业合同金额</w:t>
      </w:r>
      <w:r>
        <w:rPr>
          <w:rFonts w:ascii="Times New Roman" w:eastAsia="仿宋_GB2312" w:hint="eastAsia"/>
          <w:sz w:val="32"/>
          <w:szCs w:val="32"/>
        </w:rPr>
        <w:t>0</w:t>
      </w:r>
      <w:r>
        <w:rPr>
          <w:rFonts w:ascii="Times New Roman" w:eastAsia="仿宋_GB2312"/>
          <w:sz w:val="32"/>
          <w:szCs w:val="32"/>
        </w:rPr>
        <w:t>万元，占政府采购支出总额的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w:t>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八、国有资产占用情况说明</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截至</w:t>
      </w:r>
      <w:r>
        <w:rPr>
          <w:rFonts w:ascii="Times New Roman" w:eastAsia="仿宋_GB2312"/>
          <w:sz w:val="32"/>
          <w:szCs w:val="32"/>
        </w:rPr>
        <w:t>2024</w:t>
      </w:r>
      <w:r>
        <w:rPr>
          <w:rFonts w:ascii="Times New Roman" w:eastAsia="仿宋_GB2312"/>
          <w:sz w:val="32"/>
          <w:szCs w:val="32"/>
        </w:rPr>
        <w:t>年</w:t>
      </w:r>
      <w:r>
        <w:rPr>
          <w:rFonts w:ascii="Times New Roman" w:eastAsia="仿宋_GB2312"/>
          <w:sz w:val="32"/>
          <w:szCs w:val="32"/>
        </w:rPr>
        <w:t>12</w:t>
      </w:r>
      <w:r>
        <w:rPr>
          <w:rFonts w:ascii="Times New Roman" w:eastAsia="仿宋_GB2312"/>
          <w:sz w:val="32"/>
          <w:szCs w:val="32"/>
        </w:rPr>
        <w:t>月</w:t>
      </w:r>
      <w:r>
        <w:rPr>
          <w:rFonts w:ascii="Times New Roman" w:eastAsia="仿宋_GB2312"/>
          <w:sz w:val="32"/>
          <w:szCs w:val="32"/>
        </w:rPr>
        <w:t>31</w:t>
      </w:r>
      <w:r>
        <w:rPr>
          <w:rFonts w:ascii="Times New Roman" w:eastAsia="仿宋_GB2312"/>
          <w:sz w:val="32"/>
          <w:szCs w:val="32"/>
        </w:rPr>
        <w:t>日，本部门共有车辆</w:t>
      </w:r>
      <w:r>
        <w:rPr>
          <w:rFonts w:ascii="Times New Roman" w:eastAsia="仿宋_GB2312"/>
          <w:sz w:val="32"/>
          <w:szCs w:val="32"/>
        </w:rPr>
        <w:t>0</w:t>
      </w:r>
      <w:r>
        <w:rPr>
          <w:rFonts w:ascii="Times New Roman" w:eastAsia="仿宋_GB2312"/>
          <w:sz w:val="32"/>
          <w:szCs w:val="32"/>
        </w:rPr>
        <w:t>辆，比上年增加</w:t>
      </w:r>
      <w:r>
        <w:rPr>
          <w:rFonts w:ascii="Times New Roman" w:eastAsia="仿宋_GB2312"/>
          <w:sz w:val="32"/>
          <w:szCs w:val="32"/>
        </w:rPr>
        <w:t>0</w:t>
      </w:r>
      <w:r>
        <w:rPr>
          <w:rFonts w:ascii="Times New Roman" w:eastAsia="仿宋_GB2312"/>
          <w:sz w:val="32"/>
          <w:szCs w:val="32"/>
        </w:rPr>
        <w:t>辆，主要是</w:t>
      </w:r>
      <w:r>
        <w:rPr>
          <w:rFonts w:ascii="Times New Roman" w:eastAsia="仿宋_GB2312" w:hint="eastAsia"/>
          <w:sz w:val="32"/>
          <w:szCs w:val="32"/>
        </w:rPr>
        <w:t>我单位无公务用车</w:t>
      </w:r>
      <w:r>
        <w:rPr>
          <w:rFonts w:ascii="Times New Roman" w:eastAsia="仿宋_GB2312"/>
          <w:sz w:val="32"/>
          <w:szCs w:val="32"/>
        </w:rPr>
        <w:t>。其中，副部（省）级及以上领导用车</w:t>
      </w:r>
      <w:r>
        <w:rPr>
          <w:rFonts w:ascii="Times New Roman" w:eastAsia="仿宋_GB2312"/>
          <w:sz w:val="32"/>
          <w:szCs w:val="32"/>
        </w:rPr>
        <w:t>0</w:t>
      </w:r>
      <w:r>
        <w:rPr>
          <w:rFonts w:ascii="Times New Roman" w:eastAsia="仿宋_GB2312"/>
          <w:sz w:val="32"/>
          <w:szCs w:val="32"/>
        </w:rPr>
        <w:t>辆，主要负责人用车</w:t>
      </w:r>
      <w:r>
        <w:rPr>
          <w:rFonts w:ascii="Times New Roman" w:eastAsia="仿宋_GB2312"/>
          <w:sz w:val="32"/>
          <w:szCs w:val="32"/>
        </w:rPr>
        <w:t>0</w:t>
      </w:r>
      <w:r>
        <w:rPr>
          <w:rFonts w:ascii="Times New Roman" w:eastAsia="仿宋_GB2312"/>
          <w:sz w:val="32"/>
          <w:szCs w:val="32"/>
        </w:rPr>
        <w:t>辆，机要通信用车</w:t>
      </w:r>
      <w:r>
        <w:rPr>
          <w:rFonts w:ascii="Times New Roman" w:eastAsia="仿宋_GB2312"/>
          <w:sz w:val="32"/>
          <w:szCs w:val="32"/>
        </w:rPr>
        <w:t>0</w:t>
      </w:r>
      <w:r>
        <w:rPr>
          <w:rFonts w:ascii="Times New Roman" w:eastAsia="仿宋_GB2312"/>
          <w:sz w:val="32"/>
          <w:szCs w:val="32"/>
        </w:rPr>
        <w:t>辆，应急保障用车</w:t>
      </w:r>
      <w:r>
        <w:rPr>
          <w:rFonts w:ascii="Times New Roman" w:eastAsia="仿宋_GB2312"/>
          <w:sz w:val="32"/>
          <w:szCs w:val="32"/>
        </w:rPr>
        <w:t>0</w:t>
      </w:r>
      <w:r>
        <w:rPr>
          <w:rFonts w:ascii="Times New Roman" w:eastAsia="仿宋_GB2312"/>
          <w:sz w:val="32"/>
          <w:szCs w:val="32"/>
        </w:rPr>
        <w:t>辆，执法执勤用车</w:t>
      </w:r>
      <w:r>
        <w:rPr>
          <w:rFonts w:ascii="Times New Roman" w:eastAsia="仿宋_GB2312"/>
          <w:sz w:val="32"/>
          <w:szCs w:val="32"/>
        </w:rPr>
        <w:t>0</w:t>
      </w:r>
      <w:r>
        <w:rPr>
          <w:rFonts w:ascii="Times New Roman" w:eastAsia="仿宋_GB2312"/>
          <w:sz w:val="32"/>
          <w:szCs w:val="32"/>
        </w:rPr>
        <w:t>辆，特种专业技术用车</w:t>
      </w:r>
      <w:r>
        <w:rPr>
          <w:rFonts w:ascii="Times New Roman" w:eastAsia="仿宋_GB2312"/>
          <w:sz w:val="32"/>
          <w:szCs w:val="32"/>
        </w:rPr>
        <w:t>0</w:t>
      </w:r>
      <w:r>
        <w:rPr>
          <w:rFonts w:ascii="Times New Roman" w:eastAsia="仿宋_GB2312"/>
          <w:sz w:val="32"/>
          <w:szCs w:val="32"/>
        </w:rPr>
        <w:t>辆，离退休干部用车</w:t>
      </w:r>
      <w:r>
        <w:rPr>
          <w:rFonts w:ascii="Times New Roman" w:eastAsia="仿宋_GB2312"/>
          <w:sz w:val="32"/>
          <w:szCs w:val="32"/>
        </w:rPr>
        <w:t>0</w:t>
      </w:r>
      <w:r>
        <w:rPr>
          <w:rFonts w:ascii="Times New Roman" w:eastAsia="仿宋_GB2312"/>
          <w:sz w:val="32"/>
          <w:szCs w:val="32"/>
        </w:rPr>
        <w:t>辆，其他用车</w:t>
      </w:r>
      <w:r>
        <w:rPr>
          <w:rFonts w:ascii="Times New Roman" w:eastAsia="仿宋_GB2312"/>
          <w:sz w:val="32"/>
          <w:szCs w:val="32"/>
        </w:rPr>
        <w:t>0</w:t>
      </w:r>
      <w:r>
        <w:rPr>
          <w:rFonts w:ascii="Times New Roman" w:eastAsia="仿宋_GB2312"/>
          <w:sz w:val="32"/>
          <w:szCs w:val="32"/>
        </w:rPr>
        <w:t>辆，其他用车主要是</w:t>
      </w:r>
      <w:r>
        <w:rPr>
          <w:rFonts w:ascii="Times New Roman" w:eastAsia="仿宋_GB2312" w:hint="eastAsia"/>
          <w:sz w:val="32"/>
          <w:szCs w:val="32"/>
        </w:rPr>
        <w:t>我单位无公务用车</w:t>
      </w:r>
      <w:r>
        <w:rPr>
          <w:rFonts w:ascii="Times New Roman" w:eastAsia="仿宋_GB2312"/>
          <w:sz w:val="32"/>
          <w:szCs w:val="32"/>
        </w:rPr>
        <w:t>。单位价值</w:t>
      </w:r>
      <w:r>
        <w:rPr>
          <w:rFonts w:ascii="Times New Roman" w:eastAsia="仿宋_GB2312"/>
          <w:sz w:val="32"/>
          <w:szCs w:val="32"/>
        </w:rPr>
        <w:t>100</w:t>
      </w:r>
      <w:r>
        <w:rPr>
          <w:rFonts w:ascii="Times New Roman" w:eastAsia="仿宋_GB2312"/>
          <w:sz w:val="32"/>
          <w:szCs w:val="32"/>
        </w:rPr>
        <w:t>万元（含）以上设备（不含车辆）</w:t>
      </w:r>
      <w:r>
        <w:rPr>
          <w:rFonts w:ascii="Times New Roman" w:eastAsia="仿宋_GB2312"/>
          <w:sz w:val="32"/>
          <w:szCs w:val="32"/>
        </w:rPr>
        <w:t>0</w:t>
      </w:r>
      <w:r>
        <w:rPr>
          <w:rFonts w:ascii="Times New Roman" w:eastAsia="仿宋_GB2312"/>
          <w:sz w:val="32"/>
          <w:szCs w:val="32"/>
        </w:rPr>
        <w:t>台（套）。</w:t>
      </w:r>
    </w:p>
    <w:p w:rsidR="00C37854" w:rsidRDefault="00E00414">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九、关于</w:t>
      </w:r>
      <w:r>
        <w:rPr>
          <w:rFonts w:ascii="Times New Roman" w:eastAsia="黑体"/>
          <w:sz w:val="32"/>
          <w:szCs w:val="32"/>
        </w:rPr>
        <w:t>2024</w:t>
      </w:r>
      <w:r>
        <w:rPr>
          <w:rFonts w:ascii="Times New Roman" w:eastAsia="黑体"/>
          <w:sz w:val="32"/>
          <w:szCs w:val="32"/>
        </w:rPr>
        <w:t>年度绩效评价情况的说明</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（一）绩效评价工作开展情况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根据预算绩效管理要求，本部门组织对</w:t>
      </w:r>
      <w:r>
        <w:rPr>
          <w:rFonts w:ascii="Times New Roman" w:eastAsia="仿宋_GB2312"/>
          <w:sz w:val="32"/>
          <w:szCs w:val="32"/>
        </w:rPr>
        <w:t>2024</w:t>
      </w:r>
      <w:r>
        <w:rPr>
          <w:rFonts w:ascii="Times New Roman" w:eastAsia="仿宋_GB2312"/>
          <w:sz w:val="32"/>
          <w:szCs w:val="32"/>
        </w:rPr>
        <w:t>年度本级预算项目支出全面开展绩效自评，共涉及资金</w:t>
      </w:r>
      <w:r>
        <w:rPr>
          <w:rFonts w:ascii="Times New Roman" w:eastAsia="仿宋_GB2312" w:hint="eastAsia"/>
          <w:sz w:val="32"/>
          <w:szCs w:val="32"/>
        </w:rPr>
        <w:t>7</w:t>
      </w:r>
      <w:r>
        <w:rPr>
          <w:rFonts w:ascii="Times New Roman" w:eastAsia="仿宋_GB2312"/>
          <w:sz w:val="32"/>
          <w:szCs w:val="32"/>
        </w:rPr>
        <w:t>8.79</w:t>
      </w:r>
      <w:r>
        <w:rPr>
          <w:rFonts w:ascii="Times New Roman" w:eastAsia="仿宋_GB2312"/>
          <w:sz w:val="32"/>
          <w:szCs w:val="32"/>
        </w:rPr>
        <w:t>万元（决算金额）。其中，一般公共预算项目</w:t>
      </w:r>
      <w:r w:rsidR="00C53175">
        <w:rPr>
          <w:rFonts w:ascii="Times New Roman" w:eastAsia="仿宋_GB2312"/>
          <w:sz w:val="32"/>
          <w:szCs w:val="32"/>
        </w:rPr>
        <w:t>7</w:t>
      </w:r>
      <w:r>
        <w:rPr>
          <w:rFonts w:ascii="Times New Roman" w:eastAsia="仿宋_GB2312"/>
          <w:sz w:val="32"/>
          <w:szCs w:val="32"/>
        </w:rPr>
        <w:t>个，涉及资金</w:t>
      </w:r>
      <w:r>
        <w:rPr>
          <w:rFonts w:ascii="Times New Roman" w:eastAsia="仿宋_GB2312" w:hint="eastAsia"/>
          <w:sz w:val="32"/>
          <w:szCs w:val="32"/>
        </w:rPr>
        <w:t>7</w:t>
      </w:r>
      <w:r>
        <w:rPr>
          <w:rFonts w:ascii="Times New Roman" w:eastAsia="仿宋_GB2312"/>
          <w:sz w:val="32"/>
          <w:szCs w:val="32"/>
        </w:rPr>
        <w:t>8.79</w:t>
      </w:r>
      <w:r>
        <w:rPr>
          <w:rFonts w:ascii="Times New Roman" w:eastAsia="仿宋_GB2312"/>
          <w:sz w:val="32"/>
          <w:szCs w:val="32"/>
        </w:rPr>
        <w:t>万元，占一般公共预算项目支出总额的</w:t>
      </w:r>
      <w:r>
        <w:rPr>
          <w:rFonts w:ascii="Times New Roman" w:eastAsia="仿宋_GB2312" w:hint="eastAsia"/>
          <w:sz w:val="32"/>
          <w:szCs w:val="32"/>
        </w:rPr>
        <w:t>1</w:t>
      </w:r>
      <w:r>
        <w:rPr>
          <w:rFonts w:ascii="Times New Roman" w:eastAsia="仿宋_GB2312"/>
          <w:sz w:val="32"/>
          <w:szCs w:val="32"/>
        </w:rPr>
        <w:t>00%</w:t>
      </w:r>
      <w:r>
        <w:rPr>
          <w:rFonts w:ascii="Times New Roman" w:eastAsia="仿宋_GB2312"/>
          <w:sz w:val="32"/>
          <w:szCs w:val="32"/>
        </w:rPr>
        <w:t>；政府性基金预算项目</w:t>
      </w:r>
      <w:r>
        <w:rPr>
          <w:rFonts w:ascii="Times New Roman" w:eastAsia="仿宋_GB2312" w:hint="eastAsia"/>
          <w:sz w:val="32"/>
          <w:szCs w:val="32"/>
        </w:rPr>
        <w:t>0</w:t>
      </w:r>
      <w:r>
        <w:rPr>
          <w:rFonts w:ascii="Times New Roman" w:eastAsia="仿宋_GB2312"/>
          <w:sz w:val="32"/>
          <w:szCs w:val="32"/>
        </w:rPr>
        <w:t>个，涉及资金</w:t>
      </w:r>
      <w:r>
        <w:rPr>
          <w:rFonts w:ascii="Times New Roman" w:eastAsia="仿宋_GB2312" w:hint="eastAsia"/>
          <w:sz w:val="32"/>
          <w:szCs w:val="32"/>
        </w:rPr>
        <w:t>0</w:t>
      </w:r>
      <w:r>
        <w:rPr>
          <w:rFonts w:ascii="Times New Roman" w:eastAsia="仿宋_GB2312"/>
          <w:sz w:val="32"/>
          <w:szCs w:val="32"/>
        </w:rPr>
        <w:t>万元，占政府性基金预算项目支出总额的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；国有资本经营预算项目</w:t>
      </w:r>
      <w:r>
        <w:rPr>
          <w:rFonts w:ascii="Times New Roman" w:eastAsia="仿宋_GB2312" w:hint="eastAsia"/>
          <w:sz w:val="32"/>
          <w:szCs w:val="32"/>
        </w:rPr>
        <w:t>0</w:t>
      </w:r>
      <w:r>
        <w:rPr>
          <w:rFonts w:ascii="Times New Roman" w:eastAsia="仿宋_GB2312"/>
          <w:sz w:val="32"/>
          <w:szCs w:val="32"/>
        </w:rPr>
        <w:t>个，涉及资金</w:t>
      </w:r>
      <w:r>
        <w:rPr>
          <w:rFonts w:ascii="Times New Roman" w:eastAsia="仿宋_GB2312" w:hint="eastAsia"/>
          <w:sz w:val="32"/>
          <w:szCs w:val="32"/>
        </w:rPr>
        <w:t>0</w:t>
      </w:r>
      <w:r>
        <w:rPr>
          <w:rFonts w:ascii="Times New Roman" w:eastAsia="仿宋_GB2312"/>
          <w:sz w:val="32"/>
          <w:szCs w:val="32"/>
        </w:rPr>
        <w:t>万元，占国有资本经营预算项目支出总额的</w:t>
      </w:r>
      <w:r>
        <w:rPr>
          <w:rFonts w:ascii="Times New Roman" w:eastAsia="仿宋_GB2312" w:hint="eastAsia"/>
          <w:sz w:val="32"/>
          <w:szCs w:val="32"/>
        </w:rPr>
        <w:t>0</w:t>
      </w:r>
      <w:r>
        <w:rPr>
          <w:rFonts w:ascii="Times New Roman" w:eastAsia="仿宋_GB2312"/>
          <w:sz w:val="32"/>
          <w:szCs w:val="32"/>
        </w:rPr>
        <w:t>%</w:t>
      </w:r>
      <w:r>
        <w:rPr>
          <w:rFonts w:ascii="Times New Roman" w:eastAsia="仿宋_GB2312"/>
          <w:sz w:val="32"/>
          <w:szCs w:val="32"/>
        </w:rPr>
        <w:t>。</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hint="eastAsia"/>
          <w:sz w:val="32"/>
          <w:szCs w:val="32"/>
        </w:rPr>
        <w:t>组织对《井陉年鉴》编辑经费项目开展了重点评价，涉及一般公共预算支出</w:t>
      </w:r>
      <w:r>
        <w:rPr>
          <w:rFonts w:ascii="Times New Roman" w:eastAsia="仿宋_GB2312" w:hint="eastAsia"/>
          <w:sz w:val="32"/>
          <w:szCs w:val="32"/>
        </w:rPr>
        <w:t xml:space="preserve"> 18 </w:t>
      </w:r>
      <w:r>
        <w:rPr>
          <w:rFonts w:ascii="Times New Roman" w:eastAsia="仿宋_GB2312" w:hint="eastAsia"/>
          <w:sz w:val="32"/>
          <w:szCs w:val="32"/>
        </w:rPr>
        <w:t>万元，政府性基金预算支出</w:t>
      </w:r>
      <w:r>
        <w:rPr>
          <w:rFonts w:ascii="Times New Roman" w:eastAsia="仿宋_GB2312" w:hint="eastAsia"/>
          <w:sz w:val="32"/>
          <w:szCs w:val="32"/>
        </w:rPr>
        <w:t xml:space="preserve"> 0 </w:t>
      </w:r>
      <w:r>
        <w:rPr>
          <w:rFonts w:ascii="Times New Roman" w:eastAsia="仿宋_GB2312" w:hint="eastAsia"/>
          <w:sz w:val="32"/>
          <w:szCs w:val="32"/>
        </w:rPr>
        <w:t>万元，国有资本经营预算支出</w:t>
      </w:r>
      <w:r>
        <w:rPr>
          <w:rFonts w:ascii="Times New Roman" w:eastAsia="仿宋_GB2312" w:hint="eastAsia"/>
          <w:sz w:val="32"/>
          <w:szCs w:val="32"/>
        </w:rPr>
        <w:t xml:space="preserve"> 0</w:t>
      </w:r>
      <w:r>
        <w:rPr>
          <w:rFonts w:ascii="Times New Roman" w:eastAsia="仿宋_GB2312" w:hint="eastAsia"/>
          <w:sz w:val="32"/>
          <w:szCs w:val="32"/>
        </w:rPr>
        <w:t>万元。从评价情况来看，预算项目绩效目标完成达标，达到了年初预算项目安排的工作目标。</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（二）部门决算中项目绩效自评结果</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hint="eastAsia"/>
          <w:sz w:val="32"/>
          <w:szCs w:val="32"/>
        </w:rPr>
        <w:t>本单位在今年单位决算公开中反映《井陉年鉴》编辑经费项目绩效自评结果。</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hint="eastAsia"/>
          <w:sz w:val="32"/>
          <w:szCs w:val="32"/>
        </w:rPr>
        <w:t>《井陉年鉴》编辑经费项目绩效自评综述：根据年初设定的绩效目标，《井陉年鉴》编辑经费项目绩效自评得分为</w:t>
      </w:r>
      <w:r>
        <w:rPr>
          <w:rFonts w:ascii="Times New Roman" w:eastAsia="仿宋_GB2312" w:hint="eastAsia"/>
          <w:sz w:val="32"/>
          <w:szCs w:val="32"/>
        </w:rPr>
        <w:t xml:space="preserve"> 98 </w:t>
      </w:r>
      <w:r>
        <w:rPr>
          <w:rFonts w:ascii="Times New Roman" w:eastAsia="仿宋_GB2312" w:hint="eastAsia"/>
          <w:sz w:val="32"/>
          <w:szCs w:val="32"/>
        </w:rPr>
        <w:t>分（绩效自评表附后）。全年预算数为</w:t>
      </w:r>
      <w:r>
        <w:rPr>
          <w:rFonts w:ascii="Times New Roman" w:eastAsia="仿宋_GB2312" w:hint="eastAsia"/>
          <w:sz w:val="32"/>
          <w:szCs w:val="32"/>
        </w:rPr>
        <w:t xml:space="preserve"> 18 </w:t>
      </w:r>
      <w:r>
        <w:rPr>
          <w:rFonts w:ascii="Times New Roman" w:eastAsia="仿宋_GB2312" w:hint="eastAsia"/>
          <w:sz w:val="32"/>
          <w:szCs w:val="32"/>
        </w:rPr>
        <w:t>万元，执行数为</w:t>
      </w:r>
      <w:r>
        <w:rPr>
          <w:rFonts w:ascii="Times New Roman" w:eastAsia="仿宋_GB2312" w:hint="eastAsia"/>
          <w:sz w:val="32"/>
          <w:szCs w:val="32"/>
        </w:rPr>
        <w:t xml:space="preserve"> 18 </w:t>
      </w:r>
      <w:r>
        <w:rPr>
          <w:rFonts w:ascii="Times New Roman" w:eastAsia="仿宋_GB2312" w:hint="eastAsia"/>
          <w:sz w:val="32"/>
          <w:szCs w:val="32"/>
        </w:rPr>
        <w:t>万元，完成预算的</w:t>
      </w:r>
      <w:r>
        <w:rPr>
          <w:rFonts w:ascii="Times New Roman" w:eastAsia="仿宋_GB2312" w:hint="eastAsia"/>
          <w:sz w:val="32"/>
          <w:szCs w:val="32"/>
        </w:rPr>
        <w:t xml:space="preserve"> 100%</w:t>
      </w:r>
      <w:r>
        <w:rPr>
          <w:rFonts w:ascii="Times New Roman" w:eastAsia="仿宋_GB2312" w:hint="eastAsia"/>
          <w:sz w:val="32"/>
          <w:szCs w:val="32"/>
        </w:rPr>
        <w:t>。项目绩效目标完成情况：一是《井陉年鉴》（</w:t>
      </w:r>
      <w:r>
        <w:rPr>
          <w:rFonts w:ascii="Times New Roman" w:eastAsia="仿宋_GB2312" w:hint="eastAsia"/>
          <w:sz w:val="32"/>
          <w:szCs w:val="32"/>
        </w:rPr>
        <w:t>202</w:t>
      </w:r>
      <w:r>
        <w:rPr>
          <w:rFonts w:ascii="Times New Roman" w:eastAsia="仿宋_GB2312"/>
          <w:sz w:val="32"/>
          <w:szCs w:val="32"/>
        </w:rPr>
        <w:t>3</w:t>
      </w:r>
      <w:r>
        <w:rPr>
          <w:rFonts w:ascii="Times New Roman" w:eastAsia="仿宋_GB2312" w:hint="eastAsia"/>
          <w:sz w:val="32"/>
          <w:szCs w:val="32"/>
        </w:rPr>
        <w:t>）卷公开出版；二是年鉴印刷推行和达到新标准。差错率</w:t>
      </w:r>
      <w:r>
        <w:rPr>
          <w:rFonts w:ascii="Times New Roman" w:eastAsia="仿宋_GB2312" w:hint="eastAsia"/>
          <w:sz w:val="32"/>
          <w:szCs w:val="32"/>
        </w:rPr>
        <w:lastRenderedPageBreak/>
        <w:t>不超过百分之一，留白不超过页面五分之一。发现的主要问题及原因：一是各单位编撰人员不固定，不能按时供稿。二是编撰人员水平参差不齐，供稿质量不够。下一步整改措施：一是要求各单位尽可能固定编撰人员，二是加强对编撰人员的培训，提高供稿质量。</w:t>
      </w:r>
    </w:p>
    <w:p w:rsidR="00C37854" w:rsidRPr="00EC3DE0" w:rsidRDefault="00E00414">
      <w:pPr>
        <w:widowControl/>
        <w:spacing w:line="360" w:lineRule="auto"/>
        <w:jc w:val="center"/>
        <w:rPr>
          <w:rFonts w:ascii="黑体" w:eastAsia="黑体" w:hAnsi="黑体"/>
          <w:sz w:val="36"/>
          <w:szCs w:val="36"/>
        </w:rPr>
      </w:pPr>
      <w:r w:rsidRPr="00EC3DE0">
        <w:rPr>
          <w:rFonts w:ascii="黑体" w:eastAsia="黑体" w:hAnsi="黑体" w:hint="eastAsia"/>
          <w:sz w:val="36"/>
          <w:szCs w:val="36"/>
        </w:rPr>
        <w:t>单位专项项目绩效自评表</w:t>
      </w:r>
    </w:p>
    <w:p w:rsidR="00C37854" w:rsidRPr="00EC3DE0" w:rsidRDefault="00E00414">
      <w:pPr>
        <w:widowControl/>
        <w:spacing w:line="360" w:lineRule="auto"/>
        <w:jc w:val="center"/>
        <w:rPr>
          <w:rFonts w:ascii="黑体" w:eastAsia="黑体" w:hAnsi="黑体"/>
          <w:sz w:val="36"/>
          <w:szCs w:val="36"/>
        </w:rPr>
      </w:pPr>
      <w:r w:rsidRPr="00EC3DE0">
        <w:rPr>
          <w:rFonts w:ascii="黑体" w:eastAsia="黑体" w:hAnsi="黑体" w:hint="eastAsia"/>
          <w:sz w:val="36"/>
          <w:szCs w:val="36"/>
        </w:rPr>
        <w:t>（</w:t>
      </w:r>
      <w:r w:rsidRPr="00EC3DE0">
        <w:rPr>
          <w:rFonts w:ascii="黑体" w:eastAsia="黑体" w:hAnsi="黑体"/>
          <w:sz w:val="36"/>
          <w:szCs w:val="36"/>
        </w:rPr>
        <w:t>2024</w:t>
      </w:r>
      <w:r w:rsidRPr="00EC3DE0">
        <w:rPr>
          <w:rFonts w:ascii="黑体" w:eastAsia="黑体" w:hAnsi="黑体" w:hint="eastAsia"/>
          <w:sz w:val="36"/>
          <w:szCs w:val="36"/>
        </w:rPr>
        <w:t>年度）</w:t>
      </w:r>
    </w:p>
    <w:tbl>
      <w:tblPr>
        <w:tblW w:w="9544" w:type="dxa"/>
        <w:tblInd w:w="108" w:type="dxa"/>
        <w:tblLook w:val="04A0" w:firstRow="1" w:lastRow="0" w:firstColumn="1" w:lastColumn="0" w:noHBand="0" w:noVBand="1"/>
      </w:tblPr>
      <w:tblGrid>
        <w:gridCol w:w="1156"/>
        <w:gridCol w:w="1009"/>
        <w:gridCol w:w="1009"/>
        <w:gridCol w:w="1241"/>
        <w:gridCol w:w="1349"/>
        <w:gridCol w:w="960"/>
        <w:gridCol w:w="960"/>
        <w:gridCol w:w="1860"/>
      </w:tblGrid>
      <w:tr w:rsidR="00EC3DE0" w:rsidRPr="00EC3DE0" w:rsidTr="00EC3DE0">
        <w:trPr>
          <w:trHeight w:val="408"/>
        </w:trPr>
        <w:tc>
          <w:tcPr>
            <w:tcW w:w="1156" w:type="dxa"/>
            <w:tcBorders>
              <w:top w:val="nil"/>
              <w:left w:val="nil"/>
              <w:bottom w:val="nil"/>
              <w:right w:val="nil"/>
            </w:tcBorders>
            <w:shd w:val="clear" w:color="auto" w:fill="auto"/>
            <w:noWrap/>
            <w:vAlign w:val="bottom"/>
            <w:hideMark/>
          </w:tcPr>
          <w:p w:rsidR="00EC3DE0" w:rsidRPr="00EC3DE0" w:rsidRDefault="00EC3DE0" w:rsidP="00EC3DE0">
            <w:pPr>
              <w:widowControl/>
              <w:jc w:val="left"/>
              <w:rPr>
                <w:rFonts w:ascii="仿宋_GB2312" w:eastAsia="仿宋_GB2312" w:hAnsi="宋体"/>
                <w:color w:val="000000"/>
                <w:sz w:val="32"/>
                <w:szCs w:val="32"/>
              </w:rPr>
            </w:pPr>
            <w:r w:rsidRPr="00EC3DE0">
              <w:rPr>
                <w:rFonts w:ascii="仿宋_GB2312" w:eastAsia="仿宋_GB2312" w:hAnsi="宋体" w:hint="eastAsia"/>
                <w:color w:val="000000"/>
                <w:sz w:val="32"/>
                <w:szCs w:val="32"/>
              </w:rPr>
              <w:t>附件1</w:t>
            </w:r>
          </w:p>
        </w:tc>
        <w:tc>
          <w:tcPr>
            <w:tcW w:w="1009"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仿宋_GB2312" w:eastAsia="仿宋_GB2312" w:hAnsi="宋体"/>
                <w:color w:val="000000"/>
                <w:sz w:val="32"/>
                <w:szCs w:val="32"/>
              </w:rPr>
            </w:pPr>
          </w:p>
        </w:tc>
        <w:tc>
          <w:tcPr>
            <w:tcW w:w="1009"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c>
          <w:tcPr>
            <w:tcW w:w="1241"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c>
          <w:tcPr>
            <w:tcW w:w="1349"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c>
          <w:tcPr>
            <w:tcW w:w="1860"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Times New Roman" w:eastAsia="Times New Roman" w:hAnsi="Times New Roman" w:cs="Times New Roman"/>
                <w:sz w:val="20"/>
                <w:szCs w:val="20"/>
              </w:rPr>
            </w:pPr>
          </w:p>
        </w:tc>
      </w:tr>
      <w:tr w:rsidR="00EC3DE0" w:rsidRPr="00EC3DE0" w:rsidTr="00EC3DE0">
        <w:trPr>
          <w:trHeight w:val="516"/>
        </w:trPr>
        <w:tc>
          <w:tcPr>
            <w:tcW w:w="9544" w:type="dxa"/>
            <w:gridSpan w:val="8"/>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方正小标宋_GBK" w:eastAsia="方正小标宋_GBK" w:hAnsi="方正小标宋_GBK"/>
                <w:color w:val="000000"/>
                <w:sz w:val="32"/>
                <w:szCs w:val="32"/>
              </w:rPr>
            </w:pPr>
            <w:r w:rsidRPr="00EC3DE0">
              <w:rPr>
                <w:rFonts w:ascii="仿宋" w:eastAsia="仿宋" w:hAnsi="仿宋" w:hint="eastAsia"/>
                <w:color w:val="000000"/>
                <w:sz w:val="32"/>
                <w:szCs w:val="32"/>
              </w:rPr>
              <w:t>部门</w:t>
            </w:r>
            <w:r w:rsidRPr="00EC3DE0">
              <w:rPr>
                <w:rFonts w:ascii="宋体" w:eastAsia="宋体" w:hAnsi="宋体" w:hint="eastAsia"/>
                <w:color w:val="000000"/>
                <w:sz w:val="32"/>
                <w:szCs w:val="32"/>
              </w:rPr>
              <w:t>专项项目绩效自评表</w:t>
            </w:r>
          </w:p>
        </w:tc>
      </w:tr>
      <w:tr w:rsidR="00EC3DE0" w:rsidRPr="00EC3DE0" w:rsidTr="00EC3DE0">
        <w:trPr>
          <w:trHeight w:val="300"/>
        </w:trPr>
        <w:tc>
          <w:tcPr>
            <w:tcW w:w="9544" w:type="dxa"/>
            <w:gridSpan w:val="8"/>
            <w:tcBorders>
              <w:top w:val="nil"/>
              <w:left w:val="nil"/>
              <w:bottom w:val="nil"/>
              <w:right w:val="nil"/>
            </w:tcBorders>
            <w:shd w:val="clear" w:color="auto" w:fill="auto"/>
            <w:noWrap/>
            <w:vAlign w:val="bottom"/>
            <w:hideMark/>
          </w:tcPr>
          <w:p w:rsidR="00EC3DE0" w:rsidRPr="00EC3DE0" w:rsidRDefault="00EC3DE0" w:rsidP="00EC3DE0">
            <w:pPr>
              <w:widowControl/>
              <w:jc w:val="center"/>
              <w:rPr>
                <w:rFonts w:ascii="宋体" w:eastAsia="宋体" w:hAnsi="宋体"/>
                <w:color w:val="000000"/>
                <w:sz w:val="20"/>
                <w:szCs w:val="20"/>
              </w:rPr>
            </w:pPr>
            <w:r w:rsidRPr="00EC3DE0">
              <w:rPr>
                <w:rFonts w:ascii="宋体" w:eastAsia="宋体" w:hAnsi="宋体" w:hint="eastAsia"/>
                <w:color w:val="000000"/>
                <w:sz w:val="20"/>
                <w:szCs w:val="20"/>
              </w:rPr>
              <w:t>（2024年度）</w:t>
            </w:r>
          </w:p>
        </w:tc>
      </w:tr>
      <w:tr w:rsidR="00EC3DE0" w:rsidRPr="00EC3DE0" w:rsidTr="00EC3DE0">
        <w:trPr>
          <w:trHeight w:val="360"/>
        </w:trPr>
        <w:tc>
          <w:tcPr>
            <w:tcW w:w="4415" w:type="dxa"/>
            <w:gridSpan w:val="4"/>
            <w:tcBorders>
              <w:top w:val="nil"/>
              <w:left w:val="nil"/>
              <w:bottom w:val="single" w:sz="4" w:space="0" w:color="000000"/>
              <w:right w:val="nil"/>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填报单位：井陉县档案馆（中共井陉县委党史县志研究中心）</w:t>
            </w:r>
          </w:p>
        </w:tc>
        <w:tc>
          <w:tcPr>
            <w:tcW w:w="1349"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Times New Roman" w:eastAsia="Times New Roman" w:hAnsi="Times New Roman" w:cs="Times New Roman"/>
                <w:sz w:val="20"/>
                <w:szCs w:val="20"/>
              </w:rPr>
            </w:pPr>
          </w:p>
        </w:tc>
        <w:tc>
          <w:tcPr>
            <w:tcW w:w="1860"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金额单位：万元</w:t>
            </w:r>
          </w:p>
        </w:tc>
      </w:tr>
      <w:tr w:rsidR="00EC3DE0" w:rsidRPr="00EC3DE0" w:rsidTr="00EC3DE0">
        <w:trPr>
          <w:trHeight w:val="495"/>
        </w:trPr>
        <w:tc>
          <w:tcPr>
            <w:tcW w:w="1156" w:type="dxa"/>
            <w:tcBorders>
              <w:top w:val="nil"/>
              <w:left w:val="single" w:sz="4" w:space="0" w:color="000000"/>
              <w:bottom w:val="nil"/>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一、</w:t>
            </w:r>
            <w:r w:rsidRPr="00EC3DE0">
              <w:rPr>
                <w:rFonts w:ascii="Calibri" w:eastAsia="宋体" w:hAnsi="Calibri" w:cs="Calibri"/>
                <w:color w:val="000000"/>
                <w:sz w:val="16"/>
                <w:szCs w:val="16"/>
              </w:rPr>
              <w:t> </w:t>
            </w:r>
            <w:r w:rsidRPr="00EC3DE0">
              <w:rPr>
                <w:rFonts w:ascii="宋体" w:eastAsia="宋体" w:hAnsi="宋体" w:hint="eastAsia"/>
                <w:color w:val="000000"/>
                <w:sz w:val="16"/>
                <w:szCs w:val="16"/>
              </w:rPr>
              <w:t>基本情况</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项目名称</w:t>
            </w:r>
          </w:p>
        </w:tc>
        <w:tc>
          <w:tcPr>
            <w:tcW w:w="225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《井陉年鉴》编辑</w:t>
            </w:r>
          </w:p>
        </w:tc>
        <w:tc>
          <w:tcPr>
            <w:tcW w:w="1349" w:type="dxa"/>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实施(主管）单位</w:t>
            </w:r>
          </w:p>
        </w:tc>
        <w:tc>
          <w:tcPr>
            <w:tcW w:w="3780" w:type="dxa"/>
            <w:gridSpan w:val="3"/>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井陉县档案馆（中共井陉县委党史县志研究中心）</w:t>
            </w:r>
          </w:p>
        </w:tc>
      </w:tr>
      <w:tr w:rsidR="00EC3DE0" w:rsidRPr="00EC3DE0" w:rsidTr="00EC3DE0">
        <w:trPr>
          <w:trHeight w:val="288"/>
        </w:trPr>
        <w:tc>
          <w:tcPr>
            <w:tcW w:w="115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二、预算执行情况</w:t>
            </w:r>
          </w:p>
        </w:tc>
        <w:tc>
          <w:tcPr>
            <w:tcW w:w="2018"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预算安排情况（调整后）</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资金到位情况</w:t>
            </w:r>
          </w:p>
        </w:tc>
        <w:tc>
          <w:tcPr>
            <w:tcW w:w="192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资金执行情况</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预算执行进度</w:t>
            </w:r>
          </w:p>
        </w:tc>
      </w:tr>
      <w:tr w:rsidR="00EC3DE0" w:rsidRPr="00EC3DE0" w:rsidTr="00EC3DE0">
        <w:trPr>
          <w:trHeight w:val="288"/>
        </w:trPr>
        <w:tc>
          <w:tcPr>
            <w:tcW w:w="1156" w:type="dxa"/>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预算数：</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18</w:t>
            </w:r>
          </w:p>
        </w:tc>
        <w:tc>
          <w:tcPr>
            <w:tcW w:w="1241"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到位数：</w:t>
            </w:r>
          </w:p>
        </w:tc>
        <w:tc>
          <w:tcPr>
            <w:tcW w:w="134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15.3</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执行数：</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Calibri" w:eastAsia="宋体" w:hAnsi="Calibri" w:cs="Calibri"/>
                <w:color w:val="000000"/>
                <w:sz w:val="21"/>
                <w:szCs w:val="21"/>
              </w:rPr>
            </w:pPr>
            <w:r w:rsidRPr="00EC3DE0">
              <w:rPr>
                <w:rFonts w:ascii="Calibri" w:eastAsia="宋体" w:hAnsi="Calibri" w:cs="Calibri"/>
                <w:color w:val="000000"/>
                <w:sz w:val="21"/>
                <w:szCs w:val="21"/>
              </w:rPr>
              <w:t>15.3</w:t>
            </w:r>
          </w:p>
        </w:tc>
        <w:tc>
          <w:tcPr>
            <w:tcW w:w="18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r>
      <w:tr w:rsidR="00EC3DE0" w:rsidRPr="00EC3DE0" w:rsidTr="00EC3DE0">
        <w:trPr>
          <w:trHeight w:val="462"/>
        </w:trPr>
        <w:tc>
          <w:tcPr>
            <w:tcW w:w="1156" w:type="dxa"/>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其中：财政资金</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15.3</w:t>
            </w:r>
          </w:p>
        </w:tc>
        <w:tc>
          <w:tcPr>
            <w:tcW w:w="1241"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其中：财政资金</w:t>
            </w:r>
          </w:p>
        </w:tc>
        <w:tc>
          <w:tcPr>
            <w:tcW w:w="134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15.3</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其中：财政资金</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15.3</w:t>
            </w:r>
          </w:p>
        </w:tc>
        <w:tc>
          <w:tcPr>
            <w:tcW w:w="1860"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r>
      <w:tr w:rsidR="00EC3DE0" w:rsidRPr="00EC3DE0" w:rsidTr="00EC3DE0">
        <w:trPr>
          <w:trHeight w:val="288"/>
        </w:trPr>
        <w:tc>
          <w:tcPr>
            <w:tcW w:w="1156" w:type="dxa"/>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其他</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Calibri" w:eastAsia="宋体" w:hAnsi="Calibri" w:cs="Calibri"/>
                <w:color w:val="000000"/>
                <w:sz w:val="21"/>
                <w:szCs w:val="21"/>
              </w:rPr>
            </w:pPr>
            <w:r w:rsidRPr="00EC3DE0">
              <w:rPr>
                <w:rFonts w:ascii="Calibri" w:eastAsia="宋体" w:hAnsi="Calibri" w:cs="Calibri"/>
                <w:color w:val="000000"/>
                <w:sz w:val="21"/>
                <w:szCs w:val="21"/>
              </w:rPr>
              <w:t xml:space="preserve">　</w:t>
            </w:r>
          </w:p>
        </w:tc>
        <w:tc>
          <w:tcPr>
            <w:tcW w:w="1241"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其他</w:t>
            </w:r>
          </w:p>
        </w:tc>
        <w:tc>
          <w:tcPr>
            <w:tcW w:w="134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right"/>
              <w:rPr>
                <w:rFonts w:ascii="宋体" w:eastAsia="宋体" w:hAnsi="宋体"/>
                <w:color w:val="000000"/>
                <w:sz w:val="16"/>
                <w:szCs w:val="16"/>
              </w:rPr>
            </w:pPr>
            <w:r w:rsidRPr="00EC3DE0">
              <w:rPr>
                <w:rFonts w:ascii="宋体" w:eastAsia="宋体" w:hAnsi="宋体" w:hint="eastAsia"/>
                <w:color w:val="000000"/>
                <w:sz w:val="16"/>
                <w:szCs w:val="16"/>
              </w:rPr>
              <w:t>其他</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1860"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r>
      <w:tr w:rsidR="00EC3DE0" w:rsidRPr="00EC3DE0" w:rsidTr="00EC3DE0">
        <w:trPr>
          <w:trHeight w:val="288"/>
        </w:trPr>
        <w:tc>
          <w:tcPr>
            <w:tcW w:w="115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三、目标完成情况</w:t>
            </w:r>
          </w:p>
        </w:tc>
        <w:tc>
          <w:tcPr>
            <w:tcW w:w="3259" w:type="dxa"/>
            <w:gridSpan w:val="3"/>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年度预期目标</w:t>
            </w:r>
          </w:p>
        </w:tc>
        <w:tc>
          <w:tcPr>
            <w:tcW w:w="3269" w:type="dxa"/>
            <w:gridSpan w:val="3"/>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具体完成情况</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总体完成率</w:t>
            </w:r>
          </w:p>
        </w:tc>
      </w:tr>
      <w:tr w:rsidR="00EC3DE0" w:rsidRPr="00EC3DE0" w:rsidTr="00EC3DE0">
        <w:trPr>
          <w:trHeight w:val="329"/>
        </w:trPr>
        <w:tc>
          <w:tcPr>
            <w:tcW w:w="1156"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3259"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 xml:space="preserve">1、编辑《井陉年鉴》（2022）卷            2、《井陉年鉴》公开出版  </w:t>
            </w:r>
          </w:p>
        </w:tc>
        <w:tc>
          <w:tcPr>
            <w:tcW w:w="3269"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 xml:space="preserve">1、编辑《井陉年鉴》（2022）卷            2、《井陉年鉴》公开出版  </w:t>
            </w:r>
          </w:p>
        </w:tc>
        <w:tc>
          <w:tcPr>
            <w:tcW w:w="18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r>
      <w:tr w:rsidR="00EC3DE0" w:rsidRPr="00EC3DE0" w:rsidTr="00EC3DE0">
        <w:trPr>
          <w:trHeight w:val="329"/>
        </w:trPr>
        <w:tc>
          <w:tcPr>
            <w:tcW w:w="1156"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3259" w:type="dxa"/>
            <w:gridSpan w:val="3"/>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3269" w:type="dxa"/>
            <w:gridSpan w:val="3"/>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860"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r>
      <w:tr w:rsidR="00EC3DE0" w:rsidRPr="00EC3DE0" w:rsidTr="00EC3DE0">
        <w:trPr>
          <w:trHeight w:val="329"/>
        </w:trPr>
        <w:tc>
          <w:tcPr>
            <w:tcW w:w="1156"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3259" w:type="dxa"/>
            <w:gridSpan w:val="3"/>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3269" w:type="dxa"/>
            <w:gridSpan w:val="3"/>
            <w:vMerge/>
            <w:tcBorders>
              <w:top w:val="single" w:sz="4" w:space="0" w:color="000000"/>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860"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r>
      <w:tr w:rsidR="00EC3DE0" w:rsidRPr="00EC3DE0" w:rsidTr="00EC3DE0">
        <w:trPr>
          <w:trHeight w:val="270"/>
        </w:trPr>
        <w:tc>
          <w:tcPr>
            <w:tcW w:w="1156" w:type="dxa"/>
            <w:vMerge w:val="restart"/>
            <w:tcBorders>
              <w:top w:val="nil"/>
              <w:left w:val="single" w:sz="4" w:space="0" w:color="auto"/>
              <w:bottom w:val="single" w:sz="4" w:space="0" w:color="000000"/>
              <w:right w:val="nil"/>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四、</w:t>
            </w:r>
            <w:r w:rsidRPr="00EC3DE0">
              <w:rPr>
                <w:rFonts w:ascii="Calibri" w:eastAsia="宋体" w:hAnsi="Calibri" w:cs="Calibri"/>
                <w:color w:val="000000"/>
                <w:sz w:val="16"/>
                <w:szCs w:val="16"/>
              </w:rPr>
              <w:t> </w:t>
            </w:r>
            <w:r w:rsidRPr="00EC3DE0">
              <w:rPr>
                <w:rFonts w:ascii="宋体" w:eastAsia="宋体" w:hAnsi="宋体" w:hint="eastAsia"/>
                <w:color w:val="000000"/>
                <w:sz w:val="16"/>
                <w:szCs w:val="16"/>
              </w:rPr>
              <w:t>年度绩效指标完成情况</w:t>
            </w:r>
          </w:p>
        </w:tc>
        <w:tc>
          <w:tcPr>
            <w:tcW w:w="1009" w:type="dxa"/>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一级指标</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二级指标</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三级指标</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预期指标值</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实际完成值</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自评得分</w:t>
            </w:r>
          </w:p>
        </w:tc>
      </w:tr>
      <w:tr w:rsidR="00EC3DE0" w:rsidRPr="00EC3DE0" w:rsidTr="00EC3DE0">
        <w:trPr>
          <w:trHeight w:val="642"/>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single" w:sz="4" w:space="0" w:color="000000"/>
              <w:bottom w:val="nil"/>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产出指标（40）</w:t>
            </w:r>
          </w:p>
        </w:tc>
        <w:tc>
          <w:tcPr>
            <w:tcW w:w="100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数量指标</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《井陉年鉴》初稿完成</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三校稿完成</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《井陉年鉴》公开出版1000册</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4</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质量指标</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与出版社联系，购买书号</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与印刷厂联系排版</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印刷图书1000册</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4</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时效指标</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按时完成办理书号</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按时完成《井陉年鉴》初稿</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95%</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2</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按时完成三校稿的校对</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95%</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成本指标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计划在18万元内开展本项目</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计划在18万元内开展本项目</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r>
      <w:tr w:rsidR="00EC3DE0" w:rsidRPr="00EC3DE0" w:rsidTr="00EC3DE0">
        <w:trPr>
          <w:trHeight w:val="702"/>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预算执行率指标</w:t>
            </w:r>
            <w:r w:rsidRPr="00EC3DE0">
              <w:rPr>
                <w:rFonts w:ascii="宋体" w:eastAsia="宋体" w:hAnsi="宋体" w:hint="eastAsia"/>
                <w:color w:val="000000"/>
                <w:sz w:val="16"/>
                <w:szCs w:val="16"/>
              </w:rPr>
              <w:br/>
              <w:t>（10分）</w:t>
            </w:r>
          </w:p>
        </w:tc>
        <w:tc>
          <w:tcPr>
            <w:tcW w:w="1009"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预算执行率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计划在18万元内开展本项目</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single" w:sz="4" w:space="0" w:color="000000"/>
              <w:bottom w:val="nil"/>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效益指标（40）</w:t>
            </w:r>
          </w:p>
        </w:tc>
        <w:tc>
          <w:tcPr>
            <w:tcW w:w="1009" w:type="dxa"/>
            <w:vMerge w:val="restart"/>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经济效益指标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为全县各界人士提供了解井陉的窗口</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000000"/>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完成省市年鉴出版要求</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社会效益指标</w:t>
            </w: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完成省市年鉴出版要求</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为全县各界人士提供了解井陉的窗口</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生态效益指标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为全县各界人士提供了解井陉的窗口</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完成省市年鉴出版要求</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5</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000000"/>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 xml:space="preserve">　</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可持续影响指标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8"/>
                <w:szCs w:val="18"/>
              </w:rPr>
            </w:pPr>
            <w:r w:rsidRPr="00EC3DE0">
              <w:rPr>
                <w:rFonts w:ascii="宋体" w:eastAsia="宋体" w:hAnsi="宋体" w:hint="eastAsia"/>
                <w:color w:val="000000"/>
                <w:sz w:val="18"/>
                <w:szCs w:val="18"/>
              </w:rPr>
              <w:t>图书1000册印刷</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完成省市年鉴出版要求</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single" w:sz="4" w:space="0" w:color="000000"/>
              <w:bottom w:val="nil"/>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为全县各界人士提供了解井陉的窗口</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4</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满意度指标</w:t>
            </w:r>
            <w:r w:rsidRPr="00EC3DE0">
              <w:rPr>
                <w:rFonts w:ascii="宋体" w:eastAsia="宋体" w:hAnsi="宋体" w:hint="eastAsia"/>
                <w:color w:val="000000"/>
                <w:sz w:val="16"/>
                <w:szCs w:val="16"/>
              </w:rPr>
              <w:br/>
              <w:t>（10分）</w:t>
            </w:r>
          </w:p>
        </w:tc>
        <w:tc>
          <w:tcPr>
            <w:tcW w:w="1009" w:type="dxa"/>
            <w:vMerge w:val="restart"/>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满意度指标</w:t>
            </w: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8"/>
                <w:szCs w:val="18"/>
              </w:rPr>
            </w:pPr>
            <w:r w:rsidRPr="00EC3DE0">
              <w:rPr>
                <w:rFonts w:ascii="宋体" w:eastAsia="宋体" w:hAnsi="宋体" w:hint="eastAsia"/>
                <w:color w:val="000000"/>
                <w:sz w:val="18"/>
                <w:szCs w:val="18"/>
              </w:rPr>
              <w:t>图书1000册印刷</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single" w:sz="4" w:space="0" w:color="auto"/>
              <w:left w:val="single" w:sz="4" w:space="0" w:color="auto"/>
              <w:bottom w:val="single" w:sz="4" w:space="0" w:color="auto"/>
              <w:right w:val="single" w:sz="4" w:space="0" w:color="auto"/>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完成省市年鉴出版要求</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3</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single" w:sz="4" w:space="0" w:color="auto"/>
              <w:left w:val="single" w:sz="4" w:space="0" w:color="auto"/>
              <w:bottom w:val="single" w:sz="4" w:space="0" w:color="auto"/>
              <w:right w:val="single" w:sz="4" w:space="0" w:color="auto"/>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1009" w:type="dxa"/>
            <w:vMerge/>
            <w:tcBorders>
              <w:top w:val="nil"/>
              <w:left w:val="nil"/>
              <w:bottom w:val="single" w:sz="4" w:space="0" w:color="000000"/>
              <w:right w:val="single" w:sz="4" w:space="0" w:color="000000"/>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259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为全县各界人士提供了解井陉的窗口</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9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100%</w:t>
            </w:r>
          </w:p>
        </w:tc>
        <w:tc>
          <w:tcPr>
            <w:tcW w:w="1860" w:type="dxa"/>
            <w:tcBorders>
              <w:top w:val="nil"/>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4</w:t>
            </w:r>
          </w:p>
        </w:tc>
      </w:tr>
      <w:tr w:rsidR="00EC3DE0" w:rsidRPr="00EC3DE0" w:rsidTr="00EC3DE0">
        <w:trPr>
          <w:trHeight w:val="288"/>
        </w:trPr>
        <w:tc>
          <w:tcPr>
            <w:tcW w:w="1156" w:type="dxa"/>
            <w:vMerge/>
            <w:tcBorders>
              <w:top w:val="nil"/>
              <w:left w:val="single" w:sz="4" w:space="0" w:color="auto"/>
              <w:bottom w:val="single" w:sz="4" w:space="0" w:color="000000"/>
              <w:right w:val="nil"/>
            </w:tcBorders>
            <w:vAlign w:val="center"/>
            <w:hideMark/>
          </w:tcPr>
          <w:p w:rsidR="00EC3DE0" w:rsidRPr="00EC3DE0" w:rsidRDefault="00EC3DE0" w:rsidP="00EC3DE0">
            <w:pPr>
              <w:widowControl/>
              <w:jc w:val="left"/>
              <w:rPr>
                <w:rFonts w:ascii="宋体" w:eastAsia="宋体" w:hAnsi="宋体"/>
                <w:color w:val="000000"/>
                <w:sz w:val="16"/>
                <w:szCs w:val="16"/>
              </w:rPr>
            </w:pPr>
          </w:p>
        </w:tc>
        <w:tc>
          <w:tcPr>
            <w:tcW w:w="652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总分</w:t>
            </w:r>
          </w:p>
        </w:tc>
        <w:tc>
          <w:tcPr>
            <w:tcW w:w="1860" w:type="dxa"/>
            <w:tcBorders>
              <w:top w:val="nil"/>
              <w:left w:val="nil"/>
              <w:bottom w:val="single" w:sz="4" w:space="0" w:color="auto"/>
              <w:right w:val="single" w:sz="4" w:space="0" w:color="auto"/>
            </w:tcBorders>
            <w:shd w:val="clear" w:color="auto" w:fill="auto"/>
            <w:vAlign w:val="center"/>
            <w:hideMark/>
          </w:tcPr>
          <w:p w:rsidR="00EC3DE0" w:rsidRPr="00EC3DE0" w:rsidRDefault="00EC3DE0" w:rsidP="00EC3DE0">
            <w:pPr>
              <w:widowControl/>
              <w:jc w:val="center"/>
              <w:rPr>
                <w:rFonts w:ascii="Calibri" w:eastAsia="宋体" w:hAnsi="Calibri" w:cs="Calibri"/>
                <w:color w:val="000000"/>
                <w:sz w:val="21"/>
                <w:szCs w:val="21"/>
              </w:rPr>
            </w:pPr>
            <w:r w:rsidRPr="00EC3DE0">
              <w:rPr>
                <w:rFonts w:ascii="Calibri" w:eastAsia="宋体" w:hAnsi="Calibri" w:cs="Calibri"/>
                <w:color w:val="000000"/>
                <w:sz w:val="21"/>
                <w:szCs w:val="21"/>
              </w:rPr>
              <w:t>98</w:t>
            </w:r>
          </w:p>
        </w:tc>
      </w:tr>
      <w:tr w:rsidR="00EC3DE0" w:rsidRPr="00EC3DE0" w:rsidTr="00EC3DE0">
        <w:trPr>
          <w:trHeight w:val="735"/>
        </w:trPr>
        <w:tc>
          <w:tcPr>
            <w:tcW w:w="1156" w:type="dxa"/>
            <w:tcBorders>
              <w:top w:val="nil"/>
              <w:left w:val="single" w:sz="4" w:space="0" w:color="000000"/>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五、</w:t>
            </w:r>
            <w:r w:rsidRPr="00EC3DE0">
              <w:rPr>
                <w:rFonts w:ascii="Calibri" w:eastAsia="宋体" w:hAnsi="Calibri" w:cs="Calibri"/>
                <w:color w:val="000000"/>
                <w:sz w:val="16"/>
                <w:szCs w:val="16"/>
              </w:rPr>
              <w:t> </w:t>
            </w:r>
            <w:r w:rsidRPr="00EC3DE0">
              <w:rPr>
                <w:rFonts w:ascii="宋体" w:eastAsia="宋体" w:hAnsi="宋体" w:hint="eastAsia"/>
                <w:color w:val="000000"/>
                <w:sz w:val="16"/>
                <w:szCs w:val="16"/>
              </w:rPr>
              <w:t>存在问题、原因及下一步整改措施</w:t>
            </w:r>
          </w:p>
        </w:tc>
        <w:tc>
          <w:tcPr>
            <w:tcW w:w="8388" w:type="dxa"/>
            <w:gridSpan w:val="7"/>
            <w:tcBorders>
              <w:top w:val="single" w:sz="4" w:space="0" w:color="auto"/>
              <w:left w:val="nil"/>
              <w:bottom w:val="single" w:sz="4" w:space="0" w:color="000000"/>
              <w:right w:val="single" w:sz="4" w:space="0" w:color="000000"/>
            </w:tcBorders>
            <w:shd w:val="clear" w:color="auto" w:fill="auto"/>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1.各单位编撰人员不固定，不能按时供稿。</w:t>
            </w:r>
            <w:r w:rsidRPr="00EC3DE0">
              <w:rPr>
                <w:rFonts w:ascii="宋体" w:eastAsia="宋体" w:hAnsi="宋体" w:hint="eastAsia"/>
                <w:color w:val="000000"/>
                <w:sz w:val="16"/>
                <w:szCs w:val="16"/>
              </w:rPr>
              <w:br/>
              <w:t>2.编撰人员水平参差不齐，供稿质量不够。</w:t>
            </w:r>
          </w:p>
        </w:tc>
      </w:tr>
      <w:tr w:rsidR="00EC3DE0" w:rsidRPr="00EC3DE0" w:rsidTr="00EC3DE0">
        <w:trPr>
          <w:trHeight w:val="225"/>
        </w:trPr>
        <w:tc>
          <w:tcPr>
            <w:tcW w:w="1156"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填报人：</w:t>
            </w:r>
          </w:p>
        </w:tc>
        <w:tc>
          <w:tcPr>
            <w:tcW w:w="1009"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樊伟丽</w:t>
            </w:r>
          </w:p>
        </w:tc>
        <w:tc>
          <w:tcPr>
            <w:tcW w:w="1009"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p>
        </w:tc>
        <w:tc>
          <w:tcPr>
            <w:tcW w:w="1241"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Times New Roman" w:eastAsia="Times New Roman" w:hAnsi="Times New Roman" w:cs="Times New Roman"/>
                <w:sz w:val="20"/>
                <w:szCs w:val="20"/>
              </w:rPr>
            </w:pPr>
          </w:p>
        </w:tc>
        <w:tc>
          <w:tcPr>
            <w:tcW w:w="1349"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center"/>
            <w:hideMark/>
          </w:tcPr>
          <w:p w:rsidR="00EC3DE0" w:rsidRPr="00EC3DE0" w:rsidRDefault="00EC3DE0" w:rsidP="00EC3DE0">
            <w:pPr>
              <w:widowControl/>
              <w:jc w:val="left"/>
              <w:rPr>
                <w:rFonts w:ascii="宋体" w:eastAsia="宋体" w:hAnsi="宋体"/>
                <w:color w:val="000000"/>
                <w:sz w:val="16"/>
                <w:szCs w:val="16"/>
              </w:rPr>
            </w:pPr>
            <w:r w:rsidRPr="00EC3DE0">
              <w:rPr>
                <w:rFonts w:ascii="宋体" w:eastAsia="宋体" w:hAnsi="宋体" w:hint="eastAsia"/>
                <w:color w:val="000000"/>
                <w:sz w:val="16"/>
                <w:szCs w:val="16"/>
              </w:rPr>
              <w:t>联系电话：</w:t>
            </w:r>
          </w:p>
        </w:tc>
        <w:tc>
          <w:tcPr>
            <w:tcW w:w="1860" w:type="dxa"/>
            <w:tcBorders>
              <w:top w:val="nil"/>
              <w:left w:val="nil"/>
              <w:bottom w:val="nil"/>
              <w:right w:val="nil"/>
            </w:tcBorders>
            <w:shd w:val="clear" w:color="auto" w:fill="auto"/>
            <w:noWrap/>
            <w:vAlign w:val="center"/>
            <w:hideMark/>
          </w:tcPr>
          <w:p w:rsidR="00EC3DE0" w:rsidRPr="00EC3DE0" w:rsidRDefault="00EC3DE0" w:rsidP="00EC3DE0">
            <w:pPr>
              <w:widowControl/>
              <w:jc w:val="center"/>
              <w:rPr>
                <w:rFonts w:ascii="宋体" w:eastAsia="宋体" w:hAnsi="宋体"/>
                <w:color w:val="000000"/>
                <w:sz w:val="16"/>
                <w:szCs w:val="16"/>
              </w:rPr>
            </w:pPr>
            <w:r w:rsidRPr="00EC3DE0">
              <w:rPr>
                <w:rFonts w:ascii="宋体" w:eastAsia="宋体" w:hAnsi="宋体" w:hint="eastAsia"/>
                <w:color w:val="000000"/>
                <w:sz w:val="16"/>
                <w:szCs w:val="16"/>
              </w:rPr>
              <w:t>82022273</w:t>
            </w:r>
          </w:p>
        </w:tc>
      </w:tr>
    </w:tbl>
    <w:p w:rsidR="00C37854" w:rsidRDefault="00C37854">
      <w:pPr>
        <w:widowControl/>
        <w:spacing w:line="360" w:lineRule="auto"/>
        <w:jc w:val="center"/>
        <w:rPr>
          <w:rFonts w:ascii="黑体" w:eastAsia="黑体" w:hAnsi="黑体"/>
          <w:sz w:val="36"/>
          <w:szCs w:val="36"/>
        </w:rPr>
      </w:pPr>
    </w:p>
    <w:p w:rsidR="00EC3DE0" w:rsidRDefault="00EC3DE0">
      <w:pPr>
        <w:widowControl/>
        <w:spacing w:line="360" w:lineRule="auto"/>
        <w:jc w:val="center"/>
        <w:rPr>
          <w:rFonts w:ascii="黑体" w:eastAsia="黑体" w:hAnsi="黑体"/>
          <w:sz w:val="36"/>
          <w:szCs w:val="36"/>
        </w:rPr>
      </w:pPr>
    </w:p>
    <w:p w:rsidR="00C37854" w:rsidRDefault="00E00414">
      <w:pPr>
        <w:widowControl/>
        <w:spacing w:line="360" w:lineRule="auto"/>
        <w:ind w:firstLineChars="200" w:firstLine="641"/>
        <w:jc w:val="left"/>
        <w:rPr>
          <w:rFonts w:ascii="Times New Roman" w:eastAsia="仿宋_GB2312"/>
          <w:b/>
          <w:sz w:val="32"/>
          <w:szCs w:val="32"/>
        </w:rPr>
      </w:pPr>
      <w:r>
        <w:rPr>
          <w:rFonts w:ascii="Times New Roman" w:eastAsia="仿宋_GB2312"/>
          <w:b/>
          <w:sz w:val="32"/>
          <w:szCs w:val="32"/>
        </w:rPr>
        <w:t>（三）部门评价项目绩效评价结果（如有）</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hint="eastAsia"/>
          <w:sz w:val="32"/>
          <w:szCs w:val="32"/>
        </w:rPr>
        <w:t>我单位无财政评价项目。</w:t>
      </w:r>
    </w:p>
    <w:p w:rsidR="00C37854" w:rsidRDefault="00E00414">
      <w:pPr>
        <w:widowControl/>
        <w:spacing w:line="360" w:lineRule="auto"/>
        <w:ind w:firstLineChars="200" w:firstLine="640"/>
        <w:jc w:val="left"/>
        <w:rPr>
          <w:rFonts w:ascii="Times New Roman" w:eastAsia="黑体"/>
          <w:sz w:val="32"/>
          <w:szCs w:val="32"/>
        </w:rPr>
      </w:pPr>
      <w:r>
        <w:rPr>
          <w:rFonts w:ascii="Times New Roman" w:eastAsia="黑体"/>
          <w:sz w:val="32"/>
          <w:szCs w:val="32"/>
        </w:rPr>
        <w:t>十、其他需要说明的情况</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1.</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年度政府性基金预算财政拨款收入支出决算表（公开</w:t>
      </w:r>
      <w:r>
        <w:rPr>
          <w:rFonts w:ascii="Times New Roman" w:eastAsia="仿宋_GB2312"/>
          <w:sz w:val="32"/>
          <w:szCs w:val="32"/>
        </w:rPr>
        <w:t>07</w:t>
      </w:r>
      <w:r>
        <w:rPr>
          <w:rFonts w:ascii="Times New Roman" w:eastAsia="仿宋_GB2312"/>
          <w:sz w:val="32"/>
          <w:szCs w:val="32"/>
        </w:rPr>
        <w:t>表）、国有资本经营预算财政拨款支出决算表（公开</w:t>
      </w:r>
      <w:r>
        <w:rPr>
          <w:rFonts w:ascii="Times New Roman" w:eastAsia="仿宋_GB2312"/>
          <w:sz w:val="32"/>
          <w:szCs w:val="32"/>
        </w:rPr>
        <w:t>08</w:t>
      </w:r>
      <w:r>
        <w:rPr>
          <w:rFonts w:ascii="Times New Roman" w:eastAsia="仿宋_GB2312"/>
          <w:sz w:val="32"/>
          <w:szCs w:val="32"/>
        </w:rPr>
        <w:t>表）、财政拨款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经费支出决算表（公开</w:t>
      </w:r>
      <w:r>
        <w:rPr>
          <w:rFonts w:ascii="Times New Roman" w:eastAsia="仿宋_GB2312"/>
          <w:sz w:val="32"/>
          <w:szCs w:val="32"/>
        </w:rPr>
        <w:t>09</w:t>
      </w:r>
      <w:r>
        <w:rPr>
          <w:rFonts w:ascii="Times New Roman" w:eastAsia="仿宋_GB2312"/>
          <w:sz w:val="32"/>
          <w:szCs w:val="32"/>
        </w:rPr>
        <w:t>表）无相应收支，故空表列示。</w:t>
      </w:r>
    </w:p>
    <w:p w:rsidR="00C37854" w:rsidRDefault="00E00414">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由于决算公开表格中金额数值应当保留两位小数，公开数据为四舍五入计算结果，个别数据合计项与分项之和存在小数点后差额，特此说明。</w:t>
      </w:r>
    </w:p>
    <w:p w:rsidR="00C37854" w:rsidRDefault="00E00414">
      <w:pPr>
        <w:rPr>
          <w:rFonts w:ascii="Times New Roman" w:eastAsia="仿宋_GB2312" w:hAnsi="Times New Roman" w:cs="Times New Roman"/>
          <w:sz w:val="32"/>
          <w:szCs w:val="32"/>
        </w:rPr>
      </w:pPr>
      <w:r>
        <w:rPr>
          <w:rFonts w:ascii="Times New Roman" w:eastAsia="仿宋_GB2312" w:hAnsi="Times New Roman" w:cs="Times New Roman"/>
          <w:sz w:val="32"/>
          <w:szCs w:val="32"/>
        </w:rPr>
        <w:br w:type="page"/>
      </w:r>
    </w:p>
    <w:p w:rsidR="00C37854" w:rsidRDefault="00E00414">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第四部分</w:t>
      </w:r>
      <w:r>
        <w:rPr>
          <w:rFonts w:ascii="Times New Roman" w:eastAsia="黑体"/>
          <w:sz w:val="44"/>
          <w:szCs w:val="44"/>
        </w:rPr>
        <w:t xml:space="preserve"> </w:t>
      </w:r>
      <w:r>
        <w:rPr>
          <w:rFonts w:ascii="Times New Roman" w:eastAsia="黑体"/>
          <w:sz w:val="44"/>
          <w:szCs w:val="44"/>
        </w:rPr>
        <w:t>名词解释</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lastRenderedPageBreak/>
        <w:t>九、基本支出：</w:t>
      </w:r>
      <w:r>
        <w:rPr>
          <w:rFonts w:ascii="Times New Roman" w:eastAsia="仿宋_GB2312"/>
          <w:sz w:val="32"/>
          <w:szCs w:val="32"/>
        </w:rPr>
        <w:t>指为保障机构正常运转、完成日常工作任务而发生的人员支出和公用支出。</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sz w:val="32"/>
          <w:szCs w:val="32"/>
        </w:rPr>
        <w:t xml:space="preserve"> </w:t>
      </w:r>
      <w:r>
        <w:rPr>
          <w:rFonts w:ascii="Times New Roman" w:eastAsia="仿宋_GB2312"/>
          <w:b/>
          <w:sz w:val="32"/>
          <w:szCs w:val="32"/>
        </w:rPr>
        <w:t>：</w:t>
      </w:r>
      <w:r>
        <w:rPr>
          <w:rFonts w:ascii="Times New Roman" w:eastAsia="仿宋_GB2312"/>
          <w:sz w:val="32"/>
          <w:szCs w:val="32"/>
        </w:rPr>
        <w:t>指事业单位在专业业务活动及其辅助活动之外开展非独立核算经营活动发生的支出。</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十四、</w:t>
      </w:r>
      <w:r>
        <w:rPr>
          <w:rFonts w:ascii="Times New Roman" w:eastAsia="仿宋_GB2312"/>
          <w:b/>
          <w:sz w:val="32"/>
          <w:szCs w:val="32"/>
        </w:rPr>
        <w:t>“</w:t>
      </w:r>
      <w:r>
        <w:rPr>
          <w:rFonts w:ascii="Times New Roman" w:eastAsia="仿宋_GB2312"/>
          <w:b/>
          <w:sz w:val="32"/>
          <w:szCs w:val="32"/>
        </w:rPr>
        <w:t>三公</w:t>
      </w:r>
      <w:r>
        <w:rPr>
          <w:rFonts w:ascii="Times New Roman" w:eastAsia="仿宋_GB2312"/>
          <w:b/>
          <w:sz w:val="32"/>
          <w:szCs w:val="32"/>
        </w:rPr>
        <w:t>”</w:t>
      </w:r>
      <w:r>
        <w:rPr>
          <w:rFonts w:ascii="Times New Roman" w:eastAsia="仿宋_GB2312"/>
          <w:b/>
          <w:sz w:val="32"/>
          <w:szCs w:val="32"/>
        </w:rPr>
        <w:t>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w:t>
      </w:r>
      <w:r>
        <w:rPr>
          <w:rFonts w:ascii="Times New Roman" w:eastAsia="仿宋_GB2312"/>
          <w:sz w:val="32"/>
          <w:szCs w:val="32"/>
        </w:rPr>
        <w:lastRenderedPageBreak/>
        <w:t>反映单位公务用车购置支出（含车辆购置税、牌照费）及按规定保留的公务用车燃料费、维修费、过桥过路费、保险费、安全奖励费用等支出；公务接待费反映单位按规定开支的各类公务接待（含外宾接待）支出。</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rsidR="00C37854" w:rsidRDefault="00E00414">
      <w:pPr>
        <w:widowControl/>
        <w:spacing w:line="360" w:lineRule="auto"/>
        <w:ind w:firstLineChars="200" w:firstLine="641"/>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C37854">
      <w:footerReference w:type="default" r:id="rId24"/>
      <w:pgSz w:w="11906" w:h="16838"/>
      <w:pgMar w:top="2098" w:right="1417" w:bottom="1871" w:left="1417" w:header="851" w:footer="992" w:gutter="0"/>
      <w:pgNumType w:start="1"/>
      <w:cols w:space="0"/>
      <w:docGrid w:type="lines" w:linePitch="32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73FC" w:rsidRDefault="000773FC">
      <w:r>
        <w:separator/>
      </w:r>
    </w:p>
  </w:endnote>
  <w:endnote w:type="continuationSeparator" w:id="0">
    <w:p w:rsidR="000773FC" w:rsidRDefault="000773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1" w:subsetted="1" w:fontKey="{6EE019B0-678D-4AC8-AA13-114D7FF3D9D3}"/>
    <w:embedBold r:id="rId2" w:subsetted="1" w:fontKey="{25B6803D-F6A6-491E-879D-867E0B8FD72F}"/>
  </w:font>
  <w:font w:name="仿宋">
    <w:panose1 w:val="02010609060101010101"/>
    <w:charset w:val="86"/>
    <w:family w:val="modern"/>
    <w:pitch w:val="fixed"/>
    <w:sig w:usb0="800002BF" w:usb1="38CF7CFA" w:usb2="00000016" w:usb3="00000000" w:csb0="00040001" w:csb1="00000000"/>
    <w:embedRegular r:id="rId3" w:subsetted="1" w:fontKey="{98C210B9-6FAD-4ECA-918E-B9A5B6579E86}"/>
  </w:font>
  <w:font w:name="Calibri Light">
    <w:panose1 w:val="020F0302020204030204"/>
    <w:charset w:val="00"/>
    <w:family w:val="swiss"/>
    <w:pitch w:val="variable"/>
    <w:sig w:usb0="E4002EFF" w:usb1="C000247B" w:usb2="00000009" w:usb3="00000000" w:csb0="000001FF" w:csb1="00000000"/>
  </w:font>
  <w:font w:name="华文中宋">
    <w:altName w:val="汉仪中黑 197"/>
    <w:charset w:val="86"/>
    <w:family w:val="auto"/>
    <w:pitch w:val="default"/>
    <w:sig w:usb0="00000000" w:usb1="00000000" w:usb2="00000000" w:usb3="00000000" w:csb0="0004009F" w:csb1="DFD70000"/>
  </w:font>
  <w:font w:name="楷体_GB2312">
    <w:altName w:val="楷体"/>
    <w:charset w:val="86"/>
    <w:family w:val="auto"/>
    <w:pitch w:val="default"/>
    <w:sig w:usb0="00000000" w:usb1="00000000" w:usb2="00000000" w:usb3="00000000" w:csb0="00040000" w:csb1="00000000"/>
    <w:embedRegular r:id="rId4" w:subsetted="1" w:fontKey="{6FFAFDCC-66A3-423D-B328-63A2341017EE}"/>
    <w:embedBold r:id="rId5" w:subsetted="1" w:fontKey="{7233A2DC-63FB-4087-ADAA-9A19F02B5AEA}"/>
  </w:font>
  <w:font w:name="方正小标宋_GBK">
    <w:altName w:val="Microsoft YaHei UI"/>
    <w:charset w:val="86"/>
    <w:family w:val="script"/>
    <w:pitch w:val="default"/>
    <w:sig w:usb0="A00002BF" w:usb1="38CF7CFA" w:usb2="00082016" w:usb3="00000000" w:csb0="00040001" w:csb1="00000000"/>
    <w:embedRegular r:id="rId6" w:subsetted="1" w:fontKey="{D4276EC3-ED0B-475A-874D-31814131E9FF}"/>
    <w:embedBold r:id="rId7" w:subsetted="1" w:fontKey="{A88002EA-EBD0-49AF-B7A3-BADE986F0C3F}"/>
  </w:font>
  <w:font w:name="黑体">
    <w:altName w:val="SimHei"/>
    <w:panose1 w:val="02010609060101010101"/>
    <w:charset w:val="86"/>
    <w:family w:val="modern"/>
    <w:pitch w:val="fixed"/>
    <w:sig w:usb0="800002BF" w:usb1="38CF7CFA" w:usb2="00000016" w:usb3="00000000" w:csb0="00040001" w:csb1="00000000"/>
    <w:embedRegular r:id="rId8" w:subsetted="1" w:fontKey="{409EC26A-9480-43AC-B4DB-FC357F24D33D}"/>
  </w:font>
  <w:font w:name="仿宋_GB2312">
    <w:altName w:val="仿宋"/>
    <w:charset w:val="86"/>
    <w:family w:val="modern"/>
    <w:pitch w:val="default"/>
    <w:sig w:usb0="00000000" w:usb1="00000000" w:usb2="00000010" w:usb3="00000000" w:csb0="00040000" w:csb1="00000000"/>
    <w:embedRegular r:id="rId9" w:subsetted="1" w:fontKey="{4CB9BCF6-E1C3-4571-87DD-6634EF6D81CD}"/>
    <w:embedBold r:id="rId10" w:subsetted="1" w:fontKey="{6530A746-09A1-4E78-B9A7-A051531FA9E0}"/>
  </w:font>
  <w:font w:name="ArialUnicodeMS">
    <w:altName w:val="Malgun Gothic"/>
    <w:charset w:val="81"/>
    <w:family w:val="auto"/>
    <w:pitch w:val="default"/>
    <w:sig w:usb0="00000000" w:usb1="00000000" w:usb2="00000010" w:usb3="00000000" w:csb0="00080001" w:csb1="00000000"/>
  </w:font>
  <w:font w:name="方正仿宋_GB2312">
    <w:altName w:val="微软雅黑"/>
    <w:charset w:val="00"/>
    <w:family w:val="auto"/>
    <w:pitch w:val="default"/>
    <w:embedRegular r:id="rId11" w:fontKey="{E030F8C6-E5BE-414C-AE3C-169CD0C9ED88}"/>
    <w:embedBold r:id="rId12" w:fontKey="{3E1A9171-50EE-4109-82E1-50272406B1FB}"/>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E00414">
    <w:pPr>
      <w:jc w:val="center"/>
    </w:pPr>
    <w:r>
      <w:fldChar w:fldCharType="begin"/>
    </w:r>
    <w:r>
      <w:instrText>PAGE</w:instrText>
    </w:r>
    <w:r>
      <w:fldChar w:fldCharType="separate"/>
    </w:r>
    <w:r w:rsidR="005D43D1">
      <w:rPr>
        <w:noProof/>
      </w:rPr>
      <w:t>1</w:t>
    </w:r>
    <w:r>
      <w:fldChar w:fldCharType="end"/>
    </w:r>
  </w:p>
  <w:p w:rsidR="00C37854" w:rsidRDefault="00C37854"/>
  <w:p w:rsidR="00C37854" w:rsidRDefault="00C37854">
    <w:pPr>
      <w:pStyle w:val="a6"/>
      <w:jc w:val="center"/>
    </w:pPr>
  </w:p>
  <w:p w:rsidR="00C37854" w:rsidRDefault="00C37854">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E00414">
    <w:pPr>
      <w:jc w:val="center"/>
    </w:pPr>
    <w:r>
      <w:fldChar w:fldCharType="begin"/>
    </w:r>
    <w:r>
      <w:instrText>PAGE</w:instrText>
    </w:r>
    <w:r>
      <w:fldChar w:fldCharType="separate"/>
    </w:r>
    <w:r w:rsidR="005D43D1">
      <w:rPr>
        <w:noProof/>
      </w:rP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E00414">
    <w:pPr>
      <w:jc w:val="center"/>
    </w:pPr>
    <w:r>
      <w:fldChar w:fldCharType="begin"/>
    </w:r>
    <w:r>
      <w:instrText>PAGE</w:instrText>
    </w:r>
    <w:r>
      <w:fldChar w:fldCharType="separate"/>
    </w:r>
    <w:r w:rsidR="005D43D1">
      <w:rPr>
        <w:noProof/>
      </w:rPr>
      <w:t>4</w:t>
    </w:r>
    <w:r>
      <w:fldChar w:fldCharType="end"/>
    </w:r>
  </w:p>
  <w:p w:rsidR="00C37854" w:rsidRDefault="00C37854"/>
  <w:p w:rsidR="00C37854" w:rsidRDefault="00C37854">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C37854">
    <w:pPr>
      <w:pStyle w:val="a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E00414">
    <w:pPr>
      <w:jc w:val="center"/>
    </w:pPr>
    <w:r>
      <w:fldChar w:fldCharType="begin"/>
    </w:r>
    <w:r>
      <w:instrText>PAGE</w:instrText>
    </w:r>
    <w:r>
      <w:fldChar w:fldCharType="separate"/>
    </w:r>
    <w:r w:rsidR="005D43D1">
      <w:rPr>
        <w:noProof/>
      </w:rPr>
      <w:t>21</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E00414">
    <w:pPr>
      <w:jc w:val="center"/>
    </w:pPr>
    <w:r>
      <w:fldChar w:fldCharType="begin"/>
    </w:r>
    <w:r>
      <w:instrText>PAGE</w:instrText>
    </w:r>
    <w:r>
      <w:fldChar w:fldCharType="separate"/>
    </w:r>
    <w:r w:rsidR="005D43D1">
      <w:rPr>
        <w:noProof/>
      </w:rPr>
      <w:t>17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73FC" w:rsidRDefault="000773FC">
      <w:r>
        <w:separator/>
      </w:r>
    </w:p>
  </w:footnote>
  <w:footnote w:type="continuationSeparator" w:id="0">
    <w:p w:rsidR="000773FC" w:rsidRDefault="000773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C37854">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C37854">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C37854">
    <w:pPr>
      <w:pStyle w:val="a8"/>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7854" w:rsidRDefault="00C3785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16A424"/>
    <w:multiLevelType w:val="multilevel"/>
    <w:tmpl w:val="5F16A424"/>
    <w:lvl w:ilvl="0">
      <w:start w:val="1"/>
      <w:numFmt w:val="decimal"/>
      <w:pStyle w:val="1"/>
      <w:lvlText w:val="%1."/>
      <w:lvlJc w:val="left"/>
      <w:pPr>
        <w:ind w:left="425" w:hanging="425"/>
      </w:pPr>
      <w:rPr>
        <w:rFonts w:hint="default"/>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TrueTypeFonts/>
  <w:saveSubsetFonts/>
  <w:bordersDoNotSurroundHeader/>
  <w:bordersDoNotSurroundFooter/>
  <w:defaultTabStop w:val="420"/>
  <w:drawingGridVerticalSpacing w:val="165"/>
  <w:displayVerticalDrawingGridEvery w:val="2"/>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AD563B"/>
    <w:rsid w:val="00012503"/>
    <w:rsid w:val="00064B6B"/>
    <w:rsid w:val="000773FC"/>
    <w:rsid w:val="00086151"/>
    <w:rsid w:val="00093EE5"/>
    <w:rsid w:val="00095552"/>
    <w:rsid w:val="00096BD3"/>
    <w:rsid w:val="000C40D7"/>
    <w:rsid w:val="000C5559"/>
    <w:rsid w:val="00101AD0"/>
    <w:rsid w:val="00107899"/>
    <w:rsid w:val="00160296"/>
    <w:rsid w:val="00192BAE"/>
    <w:rsid w:val="0019784F"/>
    <w:rsid w:val="001B777B"/>
    <w:rsid w:val="001E2198"/>
    <w:rsid w:val="001F18F5"/>
    <w:rsid w:val="001F4D4D"/>
    <w:rsid w:val="00217410"/>
    <w:rsid w:val="002308D6"/>
    <w:rsid w:val="00236F8C"/>
    <w:rsid w:val="00246961"/>
    <w:rsid w:val="0028795F"/>
    <w:rsid w:val="002B769F"/>
    <w:rsid w:val="003258F7"/>
    <w:rsid w:val="00361704"/>
    <w:rsid w:val="00394693"/>
    <w:rsid w:val="003D1D04"/>
    <w:rsid w:val="003D4313"/>
    <w:rsid w:val="003D7ECE"/>
    <w:rsid w:val="003F5034"/>
    <w:rsid w:val="003F609C"/>
    <w:rsid w:val="00460F17"/>
    <w:rsid w:val="00477557"/>
    <w:rsid w:val="0048377A"/>
    <w:rsid w:val="004C17E0"/>
    <w:rsid w:val="004F6AC9"/>
    <w:rsid w:val="00505F30"/>
    <w:rsid w:val="00507A3D"/>
    <w:rsid w:val="00512CA9"/>
    <w:rsid w:val="00515510"/>
    <w:rsid w:val="00522FC7"/>
    <w:rsid w:val="00535CB2"/>
    <w:rsid w:val="00540146"/>
    <w:rsid w:val="005452DE"/>
    <w:rsid w:val="00560BE2"/>
    <w:rsid w:val="0057089A"/>
    <w:rsid w:val="005A4B82"/>
    <w:rsid w:val="005A7EA3"/>
    <w:rsid w:val="005D0AC6"/>
    <w:rsid w:val="005D43D1"/>
    <w:rsid w:val="006107F2"/>
    <w:rsid w:val="0061523F"/>
    <w:rsid w:val="00640BCF"/>
    <w:rsid w:val="006654EB"/>
    <w:rsid w:val="006A5523"/>
    <w:rsid w:val="006B27DB"/>
    <w:rsid w:val="006B780E"/>
    <w:rsid w:val="006E6D5F"/>
    <w:rsid w:val="0075466A"/>
    <w:rsid w:val="00757E08"/>
    <w:rsid w:val="00760538"/>
    <w:rsid w:val="007922BE"/>
    <w:rsid w:val="007A518C"/>
    <w:rsid w:val="007E545C"/>
    <w:rsid w:val="0080382F"/>
    <w:rsid w:val="00805159"/>
    <w:rsid w:val="008132CC"/>
    <w:rsid w:val="008203F3"/>
    <w:rsid w:val="00822154"/>
    <w:rsid w:val="008444A8"/>
    <w:rsid w:val="00846B2A"/>
    <w:rsid w:val="0085226F"/>
    <w:rsid w:val="00866E11"/>
    <w:rsid w:val="008673BA"/>
    <w:rsid w:val="00867739"/>
    <w:rsid w:val="0087641B"/>
    <w:rsid w:val="008E1CAD"/>
    <w:rsid w:val="009061BA"/>
    <w:rsid w:val="00910F84"/>
    <w:rsid w:val="009A1D78"/>
    <w:rsid w:val="009B758A"/>
    <w:rsid w:val="009E667B"/>
    <w:rsid w:val="009F01A0"/>
    <w:rsid w:val="00A3239E"/>
    <w:rsid w:val="00A53449"/>
    <w:rsid w:val="00A6242D"/>
    <w:rsid w:val="00A807D0"/>
    <w:rsid w:val="00A80D58"/>
    <w:rsid w:val="00AA2F6C"/>
    <w:rsid w:val="00AD563B"/>
    <w:rsid w:val="00B732D9"/>
    <w:rsid w:val="00B87133"/>
    <w:rsid w:val="00B92DAB"/>
    <w:rsid w:val="00BD2E67"/>
    <w:rsid w:val="00BD3E05"/>
    <w:rsid w:val="00BD417A"/>
    <w:rsid w:val="00BD43AC"/>
    <w:rsid w:val="00C0341B"/>
    <w:rsid w:val="00C23913"/>
    <w:rsid w:val="00C31D81"/>
    <w:rsid w:val="00C37854"/>
    <w:rsid w:val="00C53175"/>
    <w:rsid w:val="00C60A18"/>
    <w:rsid w:val="00C65689"/>
    <w:rsid w:val="00C8779C"/>
    <w:rsid w:val="00C91D36"/>
    <w:rsid w:val="00CC2C8E"/>
    <w:rsid w:val="00CC53F8"/>
    <w:rsid w:val="00D01211"/>
    <w:rsid w:val="00D303E6"/>
    <w:rsid w:val="00D4069B"/>
    <w:rsid w:val="00D61727"/>
    <w:rsid w:val="00D700C4"/>
    <w:rsid w:val="00D915CE"/>
    <w:rsid w:val="00DB697B"/>
    <w:rsid w:val="00E00414"/>
    <w:rsid w:val="00E065F7"/>
    <w:rsid w:val="00E372AE"/>
    <w:rsid w:val="00E402E9"/>
    <w:rsid w:val="00E74B6A"/>
    <w:rsid w:val="00EC3DE0"/>
    <w:rsid w:val="00EE22EE"/>
    <w:rsid w:val="00EF33F3"/>
    <w:rsid w:val="00F028AF"/>
    <w:rsid w:val="00F0367F"/>
    <w:rsid w:val="00F26E8A"/>
    <w:rsid w:val="00F36390"/>
    <w:rsid w:val="00F44ED7"/>
    <w:rsid w:val="00F540F2"/>
    <w:rsid w:val="00F55C61"/>
    <w:rsid w:val="00F6260E"/>
    <w:rsid w:val="00F645E2"/>
    <w:rsid w:val="00FB3C23"/>
    <w:rsid w:val="00FB6DBB"/>
    <w:rsid w:val="00FE1D15"/>
    <w:rsid w:val="00FF0714"/>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275391"/>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fillcolor="white">
      <v:fill color="white"/>
    </o:shapedefaults>
    <o:shapelayout v:ext="edit">
      <o:idmap v:ext="edit" data="1"/>
    </o:shapelayout>
  </w:shapeDefaults>
  <w:decimalSymbol w:val="."/>
  <w:listSeparator w:val=","/>
  <w15:docId w15:val="{9DA9D8A9-3259-4D73-9B04-65C9E8EA1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宋体"/>
      <w:sz w:val="24"/>
      <w:szCs w:val="24"/>
    </w:rPr>
  </w:style>
  <w:style w:type="paragraph" w:styleId="1">
    <w:name w:val="heading 1"/>
    <w:basedOn w:val="a"/>
    <w:next w:val="a"/>
    <w:qFormat/>
    <w:pPr>
      <w:keepNext/>
      <w:keepLines/>
      <w:numPr>
        <w:numId w:val="1"/>
      </w:numPr>
      <w:adjustRightInd w:val="0"/>
      <w:snapToGrid w:val="0"/>
      <w:spacing w:before="340" w:afterLines="50" w:line="578" w:lineRule="auto"/>
      <w:jc w:val="left"/>
      <w:outlineLvl w:val="0"/>
    </w:pPr>
    <w:rPr>
      <w:rFonts w:ascii="Times New Roman" w:eastAsia="仿宋" w:hAnsi="Times New Roman" w:cs="Times New Roman"/>
      <w:b/>
      <w:bCs/>
      <w:kern w:val="44"/>
      <w:sz w:val="36"/>
      <w:szCs w:val="44"/>
    </w:rPr>
  </w:style>
  <w:style w:type="paragraph" w:styleId="2">
    <w:name w:val="heading 2"/>
    <w:basedOn w:val="a"/>
    <w:next w:val="a"/>
    <w:link w:val="20"/>
    <w:uiPriority w:val="9"/>
    <w:semiHidden/>
    <w:unhideWhenUsed/>
    <w:qFormat/>
    <w:pPr>
      <w:numPr>
        <w:ilvl w:val="1"/>
        <w:numId w:val="1"/>
      </w:numPr>
      <w:spacing w:line="416" w:lineRule="auto"/>
      <w:outlineLvl w:val="1"/>
    </w:pPr>
    <w:rPr>
      <w:rFonts w:ascii="Calibri Light" w:eastAsia="宋体" w:hAnsi="Calibri Light" w:cs="Times New Roman"/>
      <w:b/>
      <w:bCs/>
      <w:sz w:val="28"/>
      <w:szCs w:val="32"/>
    </w:rPr>
  </w:style>
  <w:style w:type="paragraph" w:styleId="3">
    <w:name w:val="heading 3"/>
    <w:basedOn w:val="a"/>
    <w:next w:val="a"/>
    <w:uiPriority w:val="9"/>
    <w:semiHidden/>
    <w:unhideWhenUsed/>
    <w:qFormat/>
    <w:pPr>
      <w:keepNext/>
      <w:keepLines/>
      <w:numPr>
        <w:ilvl w:val="2"/>
        <w:numId w:val="1"/>
      </w:numPr>
      <w:spacing w:beforeLines="50" w:afterLines="50" w:line="416" w:lineRule="auto"/>
      <w:outlineLvl w:val="2"/>
    </w:pPr>
    <w:rPr>
      <w:rFonts w:ascii="宋体" w:eastAsia="宋体" w:hAnsi="宋体"/>
      <w:b/>
      <w:bCs/>
      <w:sz w:val="32"/>
    </w:rPr>
  </w:style>
  <w:style w:type="paragraph" w:styleId="4">
    <w:name w:val="heading 4"/>
    <w:basedOn w:val="a"/>
    <w:next w:val="a"/>
    <w:uiPriority w:val="9"/>
    <w:semiHidden/>
    <w:unhideWhenUsed/>
    <w:qFormat/>
    <w:pPr>
      <w:keepNext/>
      <w:keepLines/>
      <w:numPr>
        <w:ilvl w:val="3"/>
        <w:numId w:val="1"/>
      </w:numPr>
      <w:spacing w:before="120" w:after="120"/>
      <w:outlineLvl w:val="3"/>
    </w:pPr>
    <w:rPr>
      <w:rFonts w:ascii="Calibri Light" w:eastAsia="宋体" w:hAnsi="Calibri Light"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a5"/>
    <w:uiPriority w:val="99"/>
    <w:unhideWhenUsed/>
    <w:qFormat/>
    <w:rPr>
      <w:rFonts w:cstheme="minorBidi"/>
      <w:kern w:val="2"/>
      <w:sz w:val="18"/>
      <w:szCs w:val="18"/>
    </w:rPr>
  </w:style>
  <w:style w:type="paragraph" w:styleId="a6">
    <w:name w:val="footer"/>
    <w:basedOn w:val="a"/>
    <w:link w:val="a7"/>
    <w:uiPriority w:val="99"/>
    <w:qFormat/>
    <w:pPr>
      <w:tabs>
        <w:tab w:val="center" w:pos="4153"/>
        <w:tab w:val="right" w:pos="8306"/>
      </w:tabs>
      <w:snapToGrid w:val="0"/>
      <w:jc w:val="left"/>
    </w:pPr>
    <w:rPr>
      <w:rFonts w:cstheme="minorBidi"/>
      <w:kern w:val="2"/>
      <w:sz w:val="18"/>
      <w:szCs w:val="18"/>
    </w:rPr>
  </w:style>
  <w:style w:type="paragraph" w:styleId="a8">
    <w:name w:val="header"/>
    <w:basedOn w:val="a"/>
    <w:link w:val="a9"/>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rFonts w:cstheme="minorBidi"/>
      <w:kern w:val="2"/>
      <w:sz w:val="18"/>
      <w:szCs w:val="18"/>
    </w:rPr>
  </w:style>
  <w:style w:type="paragraph" w:styleId="aa">
    <w:name w:val="Normal (Web)"/>
    <w:basedOn w:val="a"/>
    <w:uiPriority w:val="99"/>
    <w:semiHidden/>
    <w:unhideWhenUsed/>
    <w:qFormat/>
    <w:pPr>
      <w:spacing w:beforeAutospacing="1" w:afterAutospacing="1"/>
      <w:jc w:val="left"/>
    </w:pPr>
    <w:rPr>
      <w:rFonts w:cs="Times New Roman"/>
    </w:rPr>
  </w:style>
  <w:style w:type="table" w:styleId="ab">
    <w:name w:val="Table Grid"/>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c">
    <w:name w:val="Strong"/>
    <w:basedOn w:val="a0"/>
    <w:uiPriority w:val="22"/>
    <w:qFormat/>
    <w:rPr>
      <w:b/>
    </w:rPr>
  </w:style>
  <w:style w:type="character" w:customStyle="1" w:styleId="20">
    <w:name w:val="标题 2 字符"/>
    <w:link w:val="2"/>
    <w:qFormat/>
    <w:rPr>
      <w:rFonts w:ascii="Calibri Light" w:eastAsia="宋体" w:hAnsi="Calibri Light" w:cs="Times New Roman"/>
      <w:b/>
      <w:bCs/>
      <w:sz w:val="28"/>
      <w:szCs w:val="32"/>
    </w:rPr>
  </w:style>
  <w:style w:type="character" w:customStyle="1" w:styleId="a7">
    <w:name w:val="页脚 字符"/>
    <w:basedOn w:val="a0"/>
    <w:link w:val="a6"/>
    <w:uiPriority w:val="99"/>
    <w:qFormat/>
    <w:rPr>
      <w:rFonts w:asciiTheme="minorHAnsi" w:eastAsiaTheme="minorEastAsia" w:hAnsiTheme="minorHAnsi" w:cstheme="minorBidi"/>
      <w:sz w:val="18"/>
      <w:szCs w:val="18"/>
      <w:lang w:val="en-US" w:eastAsia="zh-CN" w:bidi="ar-SA"/>
    </w:rPr>
  </w:style>
  <w:style w:type="character" w:customStyle="1" w:styleId="a9">
    <w:name w:val="页眉 字符"/>
    <w:basedOn w:val="a0"/>
    <w:link w:val="a8"/>
    <w:qFormat/>
    <w:rPr>
      <w:rFonts w:asciiTheme="minorHAnsi" w:eastAsiaTheme="minorEastAsia" w:hAnsiTheme="minorHAnsi" w:cstheme="minorBidi"/>
      <w:sz w:val="18"/>
      <w:szCs w:val="18"/>
      <w:lang w:val="en-US" w:eastAsia="zh-CN" w:bidi="ar-SA"/>
    </w:rPr>
  </w:style>
  <w:style w:type="character" w:customStyle="1" w:styleId="font11">
    <w:name w:val="font11"/>
    <w:basedOn w:val="a0"/>
    <w:qFormat/>
    <w:rPr>
      <w:rFonts w:ascii="宋体" w:eastAsia="宋体" w:hAnsi="宋体" w:cs="宋体" w:hint="eastAsia"/>
      <w:color w:val="000000"/>
      <w:sz w:val="20"/>
      <w:szCs w:val="20"/>
      <w:u w:val="none"/>
      <w:lang w:val="en-US" w:eastAsia="zh-CN" w:bidi="ar-SA"/>
    </w:rPr>
  </w:style>
  <w:style w:type="character" w:customStyle="1" w:styleId="font01">
    <w:name w:val="font01"/>
    <w:basedOn w:val="a0"/>
    <w:qFormat/>
    <w:rPr>
      <w:rFonts w:ascii="宋体" w:eastAsia="宋体" w:hAnsi="宋体" w:cs="宋体" w:hint="eastAsia"/>
      <w:color w:val="000000"/>
      <w:sz w:val="22"/>
      <w:szCs w:val="22"/>
      <w:u w:val="none"/>
      <w:lang w:val="en-US" w:eastAsia="zh-CN" w:bidi="ar-SA"/>
    </w:rPr>
  </w:style>
  <w:style w:type="character" w:customStyle="1" w:styleId="font41">
    <w:name w:val="font41"/>
    <w:basedOn w:val="a0"/>
    <w:qFormat/>
    <w:rPr>
      <w:rFonts w:ascii="宋体" w:eastAsia="宋体" w:hAnsi="宋体" w:cs="宋体" w:hint="eastAsia"/>
      <w:color w:val="000000"/>
      <w:sz w:val="24"/>
      <w:szCs w:val="24"/>
      <w:u w:val="none"/>
      <w:lang w:val="en-US" w:eastAsia="zh-CN" w:bidi="ar-SA"/>
    </w:rPr>
  </w:style>
  <w:style w:type="character" w:customStyle="1" w:styleId="font31">
    <w:name w:val="font31"/>
    <w:basedOn w:val="a0"/>
    <w:qFormat/>
    <w:rPr>
      <w:rFonts w:ascii="华文中宋" w:eastAsia="华文中宋" w:hAnsi="华文中宋" w:cs="华文中宋" w:hint="eastAsia"/>
      <w:color w:val="000000"/>
      <w:sz w:val="32"/>
      <w:szCs w:val="32"/>
      <w:u w:val="none"/>
      <w:lang w:val="en-US" w:eastAsia="zh-CN" w:bidi="ar-SA"/>
    </w:rPr>
  </w:style>
  <w:style w:type="character" w:customStyle="1" w:styleId="font91">
    <w:name w:val="font91"/>
    <w:basedOn w:val="a0"/>
    <w:qFormat/>
    <w:rPr>
      <w:rFonts w:ascii="华文中宋" w:eastAsia="华文中宋" w:hAnsi="华文中宋" w:cs="华文中宋" w:hint="eastAsia"/>
      <w:color w:val="000000"/>
      <w:sz w:val="32"/>
      <w:szCs w:val="32"/>
      <w:u w:val="none"/>
      <w:lang w:val="en-US" w:eastAsia="zh-CN" w:bidi="ar-SA"/>
    </w:rPr>
  </w:style>
  <w:style w:type="character" w:customStyle="1" w:styleId="font51">
    <w:name w:val="font51"/>
    <w:basedOn w:val="a0"/>
    <w:qFormat/>
    <w:rPr>
      <w:rFonts w:ascii="宋体" w:eastAsia="宋体" w:hAnsi="宋体" w:cs="宋体" w:hint="eastAsia"/>
      <w:color w:val="000000"/>
      <w:sz w:val="24"/>
      <w:szCs w:val="24"/>
      <w:u w:val="none"/>
      <w:lang w:val="en-US" w:eastAsia="zh-CN" w:bidi="ar-SA"/>
    </w:rPr>
  </w:style>
  <w:style w:type="character" w:customStyle="1" w:styleId="a5">
    <w:name w:val="批注框文本 字符"/>
    <w:basedOn w:val="a0"/>
    <w:link w:val="a4"/>
    <w:uiPriority w:val="99"/>
    <w:semiHidden/>
    <w:qFormat/>
    <w:rPr>
      <w:rFonts w:asciiTheme="minorHAnsi" w:eastAsiaTheme="minorEastAsia" w:hAnsiTheme="minorHAnsi" w:cstheme="minorBidi"/>
      <w:sz w:val="18"/>
      <w:szCs w:val="18"/>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243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chart" Target="charts/chart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chart" Target="charts/chart6.xml"/><Relationship Id="rId10" Type="http://schemas.openxmlformats.org/officeDocument/2006/relationships/footer" Target="footer1.xml"/><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chart" Target="charts/chart5.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244.33</c:v>
                </c:pt>
                <c:pt idx="1">
                  <c:v>216.35</c:v>
                </c:pt>
              </c:numCache>
            </c:numRef>
          </c:val>
          <c:extLst>
            <c:ext xmlns:c16="http://schemas.microsoft.com/office/drawing/2014/chart" uri="{C3380CC4-5D6E-409C-BE32-E72D297353CC}">
              <c16:uniqueId val="{00000000-CAD7-44E9-9452-46C10F084B83}"/>
            </c:ext>
          </c:extLst>
        </c:ser>
        <c:dLbls>
          <c:showLegendKey val="0"/>
          <c:showVal val="1"/>
          <c:showCatName val="0"/>
          <c:showSerName val="0"/>
          <c:showPercent val="0"/>
          <c:showBubbleSize val="0"/>
        </c:dLbls>
        <c:gapWidth val="246"/>
        <c:overlap val="-28"/>
        <c:axId val="81822464"/>
        <c:axId val="81824000"/>
      </c:barChart>
      <c:catAx>
        <c:axId val="8182246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1824000"/>
        <c:crosses val="autoZero"/>
        <c:auto val="1"/>
        <c:lblAlgn val="ctr"/>
        <c:lblOffset val="100"/>
        <c:noMultiLvlLbl val="0"/>
      </c:catAx>
      <c:valAx>
        <c:axId val="8182400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1822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p>
        </c:rich>
      </c:tx>
      <c:overlay val="0"/>
      <c:spPr>
        <a:noFill/>
        <a:ln>
          <a:noFill/>
        </a:ln>
        <a:effectLst/>
      </c:sp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34AB-43D9-BC92-9395594A826F}"/>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34AB-43D9-BC92-9395594A826F}"/>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34AB-43D9-BC92-9395594A826F}"/>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34AB-43D9-BC92-9395594A826F}"/>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34AB-43D9-BC92-9395594A826F}"/>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34AB-43D9-BC92-9395594A826F}"/>
              </c:ext>
            </c:extLst>
          </c:dPt>
          <c:dLbls>
            <c:dLbl>
              <c:idx val="0"/>
              <c:layout>
                <c:manualLayout>
                  <c:x val="0.32012553940302402"/>
                  <c:y val="0.726907139821478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34AB-43D9-BC92-9395594A826F}"/>
                </c:ext>
              </c:extLst>
            </c:dLbl>
            <c:dLbl>
              <c:idx val="1"/>
              <c:layout>
                <c:manualLayout>
                  <c:x val="-0.30804551640755801"/>
                  <c:y val="0.63914683382912796"/>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34AB-43D9-BC92-9395594A826F}"/>
                </c:ext>
              </c:extLst>
            </c:dLbl>
            <c:dLbl>
              <c:idx val="2"/>
              <c:layout>
                <c:manualLayout>
                  <c:x val="0.40541183654007401"/>
                  <c:y val="0.171855078623053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3705907352316199"/>
                    </c:manualLayout>
                  </c15:layout>
                </c:ext>
                <c:ext xmlns:c16="http://schemas.microsoft.com/office/drawing/2014/chart" uri="{C3380CC4-5D6E-409C-BE32-E72D297353CC}">
                  <c16:uniqueId val="{00000005-34AB-43D9-BC92-9395594A826F}"/>
                </c:ext>
              </c:extLst>
            </c:dLbl>
            <c:dLbl>
              <c:idx val="3"/>
              <c:layout>
                <c:manualLayout>
                  <c:x val="-0.28690514823885799"/>
                  <c:y val="0.270250743731381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10709732256694"/>
                    </c:manualLayout>
                  </c15:layout>
                </c:ext>
                <c:ext xmlns:c16="http://schemas.microsoft.com/office/drawing/2014/chart" uri="{C3380CC4-5D6E-409C-BE32-E72D297353CC}">
                  <c16:uniqueId val="{00000007-34AB-43D9-BC92-9395594A826F}"/>
                </c:ext>
              </c:extLst>
            </c:dLbl>
            <c:dLbl>
              <c:idx val="4"/>
              <c:layout>
                <c:manualLayout>
                  <c:x val="-0.29898536079525501"/>
                  <c:y val="0.4491606459838690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01"/>
                    </c:manualLayout>
                  </c15:layout>
                </c:ext>
                <c:ext xmlns:c16="http://schemas.microsoft.com/office/drawing/2014/chart" uri="{C3380CC4-5D6E-409C-BE32-E72D297353CC}">
                  <c16:uniqueId val="{00000009-34AB-43D9-BC92-9395594A826F}"/>
                </c:ext>
              </c:extLst>
            </c:dLbl>
            <c:dLbl>
              <c:idx val="5"/>
              <c:layout>
                <c:manualLayout>
                  <c:x val="-0.28847557587838402"/>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1092222694432601"/>
                    </c:manualLayout>
                  </c15:layout>
                </c:ext>
                <c:ext xmlns:c16="http://schemas.microsoft.com/office/drawing/2014/chart" uri="{C3380CC4-5D6E-409C-BE32-E72D297353CC}">
                  <c16:uniqueId val="{0000000B-34AB-43D9-BC92-9395594A826F}"/>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ctr"/>
            <c:showLegendKey val="1"/>
            <c:showVal val="0"/>
            <c:showCatName val="1"/>
            <c:showSerName val="0"/>
            <c:showPercent val="1"/>
            <c:showBubbleSize val="0"/>
            <c:separator> </c:separator>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2163468.19</c:v>
                </c:pt>
                <c:pt idx="1">
                  <c:v>0</c:v>
                </c:pt>
                <c:pt idx="2">
                  <c:v>0</c:v>
                </c:pt>
                <c:pt idx="3">
                  <c:v>0</c:v>
                </c:pt>
                <c:pt idx="4">
                  <c:v>0</c:v>
                </c:pt>
                <c:pt idx="5">
                  <c:v>0</c:v>
                </c:pt>
              </c:numCache>
            </c:numRef>
          </c:val>
          <c:extLst>
            <c:ext xmlns:c16="http://schemas.microsoft.com/office/drawing/2014/chart" uri="{C3380CC4-5D6E-409C-BE32-E72D297353CC}">
              <c16:uniqueId val="{0000000C-34AB-43D9-BC92-9395594A826F}"/>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p>
        </c:rich>
      </c:tx>
      <c:overlay val="0"/>
      <c:spPr>
        <a:noFill/>
        <a:ln>
          <a:noFill/>
        </a:ln>
        <a:effectLst/>
      </c:sp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50E0-4D09-B5FF-2AB9D343ABE5}"/>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50E0-4D09-B5FF-2AB9D343ABE5}"/>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50E0-4D09-B5FF-2AB9D343ABE5}"/>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50E0-4D09-B5FF-2AB9D343ABE5}"/>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50E0-4D09-B5FF-2AB9D343ABE5}"/>
              </c:ext>
            </c:extLst>
          </c:dPt>
          <c:dLbls>
            <c:dLbl>
              <c:idx val="0"/>
              <c:layout>
                <c:manualLayout>
                  <c:x val="0.34621889345252499"/>
                  <c:y val="0.71546961325966896"/>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50E0-4D09-B5FF-2AB9D343ABE5}"/>
                </c:ext>
              </c:extLst>
            </c:dLbl>
            <c:dLbl>
              <c:idx val="1"/>
              <c:layout>
                <c:manualLayout>
                  <c:x val="0.35709591688813702"/>
                  <c:y val="9.7938376540626995E-2"/>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50E0-4D09-B5FF-2AB9D343ABE5}"/>
                </c:ext>
              </c:extLst>
            </c:dLbl>
            <c:dLbl>
              <c:idx val="2"/>
              <c:layout>
                <c:manualLayout>
                  <c:x val="-0.29270355158250799"/>
                  <c:y val="0.26689332766680801"/>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5-50E0-4D09-B5FF-2AB9D343ABE5}"/>
                </c:ext>
              </c:extLst>
            </c:dLbl>
            <c:dLbl>
              <c:idx val="3"/>
              <c:layout>
                <c:manualLayout>
                  <c:x val="-0.31523568456194601"/>
                  <c:y val="0.46831661708461297"/>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7-50E0-4D09-B5FF-2AB9D343ABE5}"/>
                </c:ext>
              </c:extLst>
            </c:dLbl>
            <c:dLbl>
              <c:idx val="4"/>
              <c:layout>
                <c:manualLayout>
                  <c:x val="-0.273558967655045"/>
                  <c:y val="0.718210369740798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9-50E0-4D09-B5FF-2AB9D343ABE5}"/>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bestFit"/>
            <c:showLegendKey val="1"/>
            <c:showVal val="0"/>
            <c:showCatName val="1"/>
            <c:showSerName val="0"/>
            <c:showPercent val="1"/>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1375548.19</c:v>
                </c:pt>
                <c:pt idx="1">
                  <c:v>787920</c:v>
                </c:pt>
                <c:pt idx="2">
                  <c:v>0</c:v>
                </c:pt>
                <c:pt idx="3">
                  <c:v>0</c:v>
                </c:pt>
                <c:pt idx="4">
                  <c:v>0</c:v>
                </c:pt>
              </c:numCache>
            </c:numRef>
          </c:val>
          <c:extLst>
            <c:ext xmlns:c16="http://schemas.microsoft.com/office/drawing/2014/chart" uri="{C3380CC4-5D6E-409C-BE32-E72D297353CC}">
              <c16:uniqueId val="{0000000A-50E0-4D09-B5FF-2AB9D343ABE5}"/>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244.33</c:v>
                </c:pt>
                <c:pt idx="1">
                  <c:v>244.33</c:v>
                </c:pt>
                <c:pt idx="2">
                  <c:v>244.33</c:v>
                </c:pt>
                <c:pt idx="3">
                  <c:v>244.33</c:v>
                </c:pt>
                <c:pt idx="4">
                  <c:v>0</c:v>
                </c:pt>
                <c:pt idx="5">
                  <c:v>0</c:v>
                </c:pt>
                <c:pt idx="6">
                  <c:v>0</c:v>
                </c:pt>
                <c:pt idx="7">
                  <c:v>0</c:v>
                </c:pt>
              </c:numCache>
            </c:numRef>
          </c:val>
          <c:extLst>
            <c:ext xmlns:c16="http://schemas.microsoft.com/office/drawing/2014/chart" uri="{C3380CC4-5D6E-409C-BE32-E72D297353CC}">
              <c16:uniqueId val="{00000000-C024-4777-8B70-EE3D4A05F189}"/>
            </c:ext>
          </c:extLst>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216.35</c:v>
                </c:pt>
                <c:pt idx="1">
                  <c:v>216.35</c:v>
                </c:pt>
                <c:pt idx="2">
                  <c:v>216.35</c:v>
                </c:pt>
                <c:pt idx="3">
                  <c:v>216.35</c:v>
                </c:pt>
                <c:pt idx="4">
                  <c:v>0</c:v>
                </c:pt>
                <c:pt idx="5">
                  <c:v>0</c:v>
                </c:pt>
                <c:pt idx="6">
                  <c:v>0</c:v>
                </c:pt>
                <c:pt idx="7">
                  <c:v>0</c:v>
                </c:pt>
              </c:numCache>
            </c:numRef>
          </c:val>
          <c:extLst>
            <c:ext xmlns:c16="http://schemas.microsoft.com/office/drawing/2014/chart" uri="{C3380CC4-5D6E-409C-BE32-E72D297353CC}">
              <c16:uniqueId val="{00000001-C024-4777-8B70-EE3D4A05F189}"/>
            </c:ext>
          </c:extLst>
        </c:ser>
        <c:dLbls>
          <c:showLegendKey val="0"/>
          <c:showVal val="1"/>
          <c:showCatName val="0"/>
          <c:showSerName val="0"/>
          <c:showPercent val="0"/>
          <c:showBubbleSize val="0"/>
        </c:dLbls>
        <c:gapWidth val="246"/>
        <c:overlap val="-28"/>
        <c:axId val="82073472"/>
        <c:axId val="82075008"/>
      </c:barChart>
      <c:catAx>
        <c:axId val="82073472"/>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2075008"/>
        <c:crosses val="autoZero"/>
        <c:auto val="1"/>
        <c:lblAlgn val="ctr"/>
        <c:lblOffset val="100"/>
        <c:noMultiLvlLbl val="0"/>
      </c:catAx>
      <c:valAx>
        <c:axId val="8207500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2073472"/>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zh-CN"/>
          </a:p>
        </c:txPr>
      </c:dTable>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p>
        </c:rich>
      </c:tx>
      <c:overlay val="0"/>
      <c:spPr>
        <a:noFill/>
        <a:ln>
          <a:noFill/>
        </a:ln>
        <a:effectLst/>
      </c:spPr>
    </c:title>
    <c:autoTitleDeleted val="0"/>
    <c:plotArea>
      <c:layout>
        <c:manualLayout>
          <c:layoutTarget val="inner"/>
          <c:xMode val="edge"/>
          <c:yMode val="edge"/>
          <c:x val="0.17641942498188001"/>
          <c:y val="0.160433489162771"/>
          <c:w val="0.79579608601111396"/>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233</c:v>
                </c:pt>
                <c:pt idx="1">
                  <c:v>233</c:v>
                </c:pt>
                <c:pt idx="2">
                  <c:v>233</c:v>
                </c:pt>
                <c:pt idx="3">
                  <c:v>233</c:v>
                </c:pt>
                <c:pt idx="4">
                  <c:v>0</c:v>
                </c:pt>
                <c:pt idx="5">
                  <c:v>0</c:v>
                </c:pt>
                <c:pt idx="6">
                  <c:v>0</c:v>
                </c:pt>
                <c:pt idx="7">
                  <c:v>0</c:v>
                </c:pt>
              </c:numCache>
            </c:numRef>
          </c:val>
          <c:extLst>
            <c:ext xmlns:c16="http://schemas.microsoft.com/office/drawing/2014/chart" uri="{C3380CC4-5D6E-409C-BE32-E72D297353CC}">
              <c16:uniqueId val="{00000000-DFA5-4FC5-AE4A-CF15A2A19601}"/>
            </c:ext>
          </c:extLst>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216.35</c:v>
                </c:pt>
                <c:pt idx="1">
                  <c:v>216.35</c:v>
                </c:pt>
                <c:pt idx="2">
                  <c:v>216.35</c:v>
                </c:pt>
                <c:pt idx="3">
                  <c:v>216.35</c:v>
                </c:pt>
                <c:pt idx="4">
                  <c:v>0</c:v>
                </c:pt>
                <c:pt idx="5">
                  <c:v>0</c:v>
                </c:pt>
                <c:pt idx="6">
                  <c:v>0</c:v>
                </c:pt>
                <c:pt idx="7">
                  <c:v>0</c:v>
                </c:pt>
              </c:numCache>
            </c:numRef>
          </c:val>
          <c:extLst>
            <c:ext xmlns:c16="http://schemas.microsoft.com/office/drawing/2014/chart" uri="{C3380CC4-5D6E-409C-BE32-E72D297353CC}">
              <c16:uniqueId val="{00000001-DFA5-4FC5-AE4A-CF15A2A19601}"/>
            </c:ext>
          </c:extLst>
        </c:ser>
        <c:dLbls>
          <c:showLegendKey val="0"/>
          <c:showVal val="1"/>
          <c:showCatName val="0"/>
          <c:showSerName val="0"/>
          <c:showPercent val="0"/>
          <c:showBubbleSize val="0"/>
        </c:dLbls>
        <c:gapWidth val="150"/>
        <c:axId val="82283136"/>
        <c:axId val="82297216"/>
      </c:barChart>
      <c:catAx>
        <c:axId val="8228313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2297216"/>
        <c:crosses val="autoZero"/>
        <c:auto val="1"/>
        <c:lblAlgn val="ctr"/>
        <c:lblOffset val="100"/>
        <c:noMultiLvlLbl val="0"/>
      </c:catAx>
      <c:valAx>
        <c:axId val="8229721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2283136"/>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zh-CN"/>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p>
        </c:rich>
      </c:tx>
      <c:overlay val="0"/>
      <c:spPr>
        <a:noFill/>
        <a:ln>
          <a:noFill/>
        </a:ln>
        <a:effectLst/>
      </c:sp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31D2-4449-9091-7915CBD6B3F6}"/>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31D2-4449-9091-7915CBD6B3F6}"/>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31D2-4449-9091-7915CBD6B3F6}"/>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31D2-4449-9091-7915CBD6B3F6}"/>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31D2-4449-9091-7915CBD6B3F6}"/>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31D2-4449-9091-7915CBD6B3F6}"/>
              </c:ext>
            </c:extLst>
          </c:dPt>
          <c:dPt>
            <c:idx val="6"/>
            <c:bubble3D val="0"/>
            <c:spPr>
              <a:solidFill>
                <a:schemeClr val="accent1">
                  <a:lumMod val="60000"/>
                </a:schemeClr>
              </a:solidFill>
              <a:ln>
                <a:solidFill>
                  <a:schemeClr val="bg1"/>
                </a:solidFill>
              </a:ln>
              <a:effectLst/>
            </c:spPr>
            <c:extLst>
              <c:ext xmlns:c16="http://schemas.microsoft.com/office/drawing/2014/chart" uri="{C3380CC4-5D6E-409C-BE32-E72D297353CC}">
                <c16:uniqueId val="{0000000D-31D2-4449-9091-7915CBD6B3F6}"/>
              </c:ext>
            </c:extLst>
          </c:dPt>
          <c:dPt>
            <c:idx val="7"/>
            <c:bubble3D val="0"/>
            <c:spPr>
              <a:solidFill>
                <a:schemeClr val="accent2">
                  <a:lumMod val="60000"/>
                </a:schemeClr>
              </a:solidFill>
              <a:ln>
                <a:solidFill>
                  <a:schemeClr val="bg1"/>
                </a:solidFill>
              </a:ln>
              <a:effectLst/>
            </c:spPr>
            <c:extLst>
              <c:ext xmlns:c16="http://schemas.microsoft.com/office/drawing/2014/chart" uri="{C3380CC4-5D6E-409C-BE32-E72D297353CC}">
                <c16:uniqueId val="{0000000F-31D2-4449-9091-7915CBD6B3F6}"/>
              </c:ext>
            </c:extLst>
          </c:dPt>
          <c:dPt>
            <c:idx val="8"/>
            <c:bubble3D val="0"/>
            <c:spPr>
              <a:solidFill>
                <a:schemeClr val="accent3">
                  <a:lumMod val="60000"/>
                </a:schemeClr>
              </a:solidFill>
              <a:ln>
                <a:solidFill>
                  <a:schemeClr val="bg1"/>
                </a:solidFill>
              </a:ln>
              <a:effectLst/>
            </c:spPr>
            <c:extLst>
              <c:ext xmlns:c16="http://schemas.microsoft.com/office/drawing/2014/chart" uri="{C3380CC4-5D6E-409C-BE32-E72D297353CC}">
                <c16:uniqueId val="{00000011-31D2-4449-9091-7915CBD6B3F6}"/>
              </c:ext>
            </c:extLst>
          </c:dPt>
          <c:dPt>
            <c:idx val="9"/>
            <c:bubble3D val="0"/>
            <c:spPr>
              <a:solidFill>
                <a:schemeClr val="accent4">
                  <a:lumMod val="60000"/>
                </a:schemeClr>
              </a:solidFill>
              <a:ln>
                <a:solidFill>
                  <a:schemeClr val="bg1"/>
                </a:solidFill>
              </a:ln>
              <a:effectLst/>
            </c:spPr>
            <c:extLst>
              <c:ext xmlns:c16="http://schemas.microsoft.com/office/drawing/2014/chart" uri="{C3380CC4-5D6E-409C-BE32-E72D297353CC}">
                <c16:uniqueId val="{00000013-31D2-4449-9091-7915CBD6B3F6}"/>
              </c:ext>
            </c:extLst>
          </c:dPt>
          <c:dPt>
            <c:idx val="10"/>
            <c:bubble3D val="0"/>
            <c:spPr>
              <a:solidFill>
                <a:schemeClr val="accent5">
                  <a:lumMod val="60000"/>
                </a:schemeClr>
              </a:solidFill>
              <a:ln>
                <a:solidFill>
                  <a:schemeClr val="bg1"/>
                </a:solidFill>
              </a:ln>
              <a:effectLst/>
            </c:spPr>
            <c:extLst>
              <c:ext xmlns:c16="http://schemas.microsoft.com/office/drawing/2014/chart" uri="{C3380CC4-5D6E-409C-BE32-E72D297353CC}">
                <c16:uniqueId val="{00000015-31D2-4449-9091-7915CBD6B3F6}"/>
              </c:ext>
            </c:extLst>
          </c:dPt>
          <c:dPt>
            <c:idx val="11"/>
            <c:bubble3D val="0"/>
            <c:spPr>
              <a:solidFill>
                <a:schemeClr val="accent6">
                  <a:lumMod val="60000"/>
                </a:schemeClr>
              </a:solidFill>
              <a:ln>
                <a:solidFill>
                  <a:schemeClr val="bg1"/>
                </a:solidFill>
              </a:ln>
              <a:effectLst/>
            </c:spPr>
            <c:extLst>
              <c:ext xmlns:c16="http://schemas.microsoft.com/office/drawing/2014/chart" uri="{C3380CC4-5D6E-409C-BE32-E72D297353CC}">
                <c16:uniqueId val="{00000017-31D2-4449-9091-7915CBD6B3F6}"/>
              </c:ext>
            </c:extLst>
          </c:dPt>
          <c:dPt>
            <c:idx val="12"/>
            <c:bubble3D val="0"/>
            <c:spPr>
              <a:solidFill>
                <a:schemeClr val="accent1">
                  <a:lumMod val="80000"/>
                  <a:lumOff val="20000"/>
                </a:schemeClr>
              </a:solidFill>
              <a:ln>
                <a:solidFill>
                  <a:schemeClr val="bg1"/>
                </a:solidFill>
              </a:ln>
              <a:effectLst/>
            </c:spPr>
            <c:extLst>
              <c:ext xmlns:c16="http://schemas.microsoft.com/office/drawing/2014/chart" uri="{C3380CC4-5D6E-409C-BE32-E72D297353CC}">
                <c16:uniqueId val="{00000019-31D2-4449-9091-7915CBD6B3F6}"/>
              </c:ext>
            </c:extLst>
          </c:dPt>
          <c:dPt>
            <c:idx val="13"/>
            <c:bubble3D val="0"/>
            <c:spPr>
              <a:solidFill>
                <a:schemeClr val="accent2">
                  <a:lumMod val="80000"/>
                  <a:lumOff val="20000"/>
                </a:schemeClr>
              </a:solidFill>
              <a:ln>
                <a:solidFill>
                  <a:schemeClr val="bg1"/>
                </a:solidFill>
              </a:ln>
              <a:effectLst/>
            </c:spPr>
            <c:extLst>
              <c:ext xmlns:c16="http://schemas.microsoft.com/office/drawing/2014/chart" uri="{C3380CC4-5D6E-409C-BE32-E72D297353CC}">
                <c16:uniqueId val="{0000001B-31D2-4449-9091-7915CBD6B3F6}"/>
              </c:ext>
            </c:extLst>
          </c:dPt>
          <c:dPt>
            <c:idx val="14"/>
            <c:bubble3D val="0"/>
            <c:spPr>
              <a:solidFill>
                <a:schemeClr val="accent3">
                  <a:lumMod val="80000"/>
                  <a:lumOff val="20000"/>
                </a:schemeClr>
              </a:solidFill>
              <a:ln>
                <a:solidFill>
                  <a:schemeClr val="bg1"/>
                </a:solidFill>
              </a:ln>
              <a:effectLst/>
            </c:spPr>
            <c:extLst>
              <c:ext xmlns:c16="http://schemas.microsoft.com/office/drawing/2014/chart" uri="{C3380CC4-5D6E-409C-BE32-E72D297353CC}">
                <c16:uniqueId val="{0000001D-31D2-4449-9091-7915CBD6B3F6}"/>
              </c:ext>
            </c:extLst>
          </c:dPt>
          <c:dPt>
            <c:idx val="15"/>
            <c:bubble3D val="0"/>
            <c:spPr>
              <a:solidFill>
                <a:schemeClr val="accent4">
                  <a:lumMod val="80000"/>
                  <a:lumOff val="20000"/>
                </a:schemeClr>
              </a:solidFill>
              <a:ln>
                <a:solidFill>
                  <a:schemeClr val="bg1"/>
                </a:solidFill>
              </a:ln>
              <a:effectLst/>
            </c:spPr>
            <c:extLst>
              <c:ext xmlns:c16="http://schemas.microsoft.com/office/drawing/2014/chart" uri="{C3380CC4-5D6E-409C-BE32-E72D297353CC}">
                <c16:uniqueId val="{0000001F-31D2-4449-9091-7915CBD6B3F6}"/>
              </c:ext>
            </c:extLst>
          </c:dPt>
          <c:dPt>
            <c:idx val="16"/>
            <c:bubble3D val="0"/>
            <c:spPr>
              <a:solidFill>
                <a:schemeClr val="accent5">
                  <a:lumMod val="80000"/>
                  <a:lumOff val="20000"/>
                </a:schemeClr>
              </a:solidFill>
              <a:ln>
                <a:solidFill>
                  <a:schemeClr val="bg1"/>
                </a:solidFill>
              </a:ln>
              <a:effectLst/>
            </c:spPr>
            <c:extLst>
              <c:ext xmlns:c16="http://schemas.microsoft.com/office/drawing/2014/chart" uri="{C3380CC4-5D6E-409C-BE32-E72D297353CC}">
                <c16:uniqueId val="{00000021-31D2-4449-9091-7915CBD6B3F6}"/>
              </c:ext>
            </c:extLst>
          </c:dPt>
          <c:dPt>
            <c:idx val="17"/>
            <c:bubble3D val="0"/>
            <c:spPr>
              <a:solidFill>
                <a:schemeClr val="accent6">
                  <a:lumMod val="80000"/>
                  <a:lumOff val="20000"/>
                </a:schemeClr>
              </a:solidFill>
              <a:ln>
                <a:solidFill>
                  <a:schemeClr val="bg1"/>
                </a:solidFill>
              </a:ln>
              <a:effectLst/>
            </c:spPr>
            <c:extLst>
              <c:ext xmlns:c16="http://schemas.microsoft.com/office/drawing/2014/chart" uri="{C3380CC4-5D6E-409C-BE32-E72D297353CC}">
                <c16:uniqueId val="{00000023-31D2-4449-9091-7915CBD6B3F6}"/>
              </c:ext>
            </c:extLst>
          </c:dPt>
          <c:dPt>
            <c:idx val="18"/>
            <c:bubble3D val="0"/>
            <c:spPr>
              <a:solidFill>
                <a:schemeClr val="accent1">
                  <a:lumMod val="80000"/>
                </a:schemeClr>
              </a:solidFill>
              <a:ln>
                <a:solidFill>
                  <a:schemeClr val="bg1"/>
                </a:solidFill>
              </a:ln>
              <a:effectLst/>
            </c:spPr>
            <c:extLst>
              <c:ext xmlns:c16="http://schemas.microsoft.com/office/drawing/2014/chart" uri="{C3380CC4-5D6E-409C-BE32-E72D297353CC}">
                <c16:uniqueId val="{00000025-31D2-4449-9091-7915CBD6B3F6}"/>
              </c:ext>
            </c:extLst>
          </c:dPt>
          <c:dPt>
            <c:idx val="19"/>
            <c:bubble3D val="0"/>
            <c:spPr>
              <a:solidFill>
                <a:schemeClr val="accent2">
                  <a:lumMod val="80000"/>
                </a:schemeClr>
              </a:solidFill>
              <a:ln>
                <a:solidFill>
                  <a:schemeClr val="bg1"/>
                </a:solidFill>
              </a:ln>
              <a:effectLst/>
            </c:spPr>
            <c:extLst>
              <c:ext xmlns:c16="http://schemas.microsoft.com/office/drawing/2014/chart" uri="{C3380CC4-5D6E-409C-BE32-E72D297353CC}">
                <c16:uniqueId val="{00000027-31D2-4449-9091-7915CBD6B3F6}"/>
              </c:ext>
            </c:extLst>
          </c:dPt>
          <c:dPt>
            <c:idx val="20"/>
            <c:bubble3D val="0"/>
            <c:spPr>
              <a:solidFill>
                <a:schemeClr val="accent3">
                  <a:lumMod val="80000"/>
                </a:schemeClr>
              </a:solidFill>
              <a:ln>
                <a:solidFill>
                  <a:schemeClr val="bg1"/>
                </a:solidFill>
              </a:ln>
              <a:effectLst/>
            </c:spPr>
            <c:extLst>
              <c:ext xmlns:c16="http://schemas.microsoft.com/office/drawing/2014/chart" uri="{C3380CC4-5D6E-409C-BE32-E72D297353CC}">
                <c16:uniqueId val="{00000029-31D2-4449-9091-7915CBD6B3F6}"/>
              </c:ext>
            </c:extLst>
          </c:dPt>
          <c:dPt>
            <c:idx val="21"/>
            <c:bubble3D val="0"/>
            <c:spPr>
              <a:solidFill>
                <a:schemeClr val="accent4">
                  <a:lumMod val="80000"/>
                </a:schemeClr>
              </a:solidFill>
              <a:ln>
                <a:solidFill>
                  <a:schemeClr val="bg1"/>
                </a:solidFill>
              </a:ln>
              <a:effectLst/>
            </c:spPr>
            <c:extLst>
              <c:ext xmlns:c16="http://schemas.microsoft.com/office/drawing/2014/chart" uri="{C3380CC4-5D6E-409C-BE32-E72D297353CC}">
                <c16:uniqueId val="{0000002B-31D2-4449-9091-7915CBD6B3F6}"/>
              </c:ext>
            </c:extLst>
          </c:dPt>
          <c:dPt>
            <c:idx val="22"/>
            <c:bubble3D val="0"/>
            <c:spPr>
              <a:solidFill>
                <a:schemeClr val="accent5">
                  <a:lumMod val="80000"/>
                </a:schemeClr>
              </a:solidFill>
              <a:ln>
                <a:solidFill>
                  <a:schemeClr val="bg1"/>
                </a:solidFill>
              </a:ln>
              <a:effectLst/>
            </c:spPr>
            <c:extLst>
              <c:ext xmlns:c16="http://schemas.microsoft.com/office/drawing/2014/chart" uri="{C3380CC4-5D6E-409C-BE32-E72D297353CC}">
                <c16:uniqueId val="{0000002D-31D2-4449-9091-7915CBD6B3F6}"/>
              </c:ext>
            </c:extLst>
          </c:dPt>
          <c:dPt>
            <c:idx val="23"/>
            <c:bubble3D val="0"/>
            <c:spPr>
              <a:solidFill>
                <a:schemeClr val="accent6">
                  <a:lumMod val="80000"/>
                </a:schemeClr>
              </a:solidFill>
              <a:ln>
                <a:solidFill>
                  <a:schemeClr val="bg1"/>
                </a:solidFill>
              </a:ln>
              <a:effectLst/>
            </c:spPr>
            <c:extLst>
              <c:ext xmlns:c16="http://schemas.microsoft.com/office/drawing/2014/chart" uri="{C3380CC4-5D6E-409C-BE32-E72D297353CC}">
                <c16:uniqueId val="{0000002F-31D2-4449-9091-7915CBD6B3F6}"/>
              </c:ext>
            </c:extLst>
          </c:dPt>
          <c:dPt>
            <c:idx val="24"/>
            <c:bubble3D val="0"/>
            <c:spPr>
              <a:solidFill>
                <a:schemeClr val="accent1">
                  <a:lumMod val="60000"/>
                  <a:lumOff val="40000"/>
                </a:schemeClr>
              </a:solidFill>
              <a:ln>
                <a:solidFill>
                  <a:schemeClr val="bg1"/>
                </a:solidFill>
              </a:ln>
              <a:effectLst/>
            </c:spPr>
            <c:extLst>
              <c:ext xmlns:c16="http://schemas.microsoft.com/office/drawing/2014/chart" uri="{C3380CC4-5D6E-409C-BE32-E72D297353CC}">
                <c16:uniqueId val="{00000031-31D2-4449-9091-7915CBD6B3F6}"/>
              </c:ext>
            </c:extLst>
          </c:dPt>
          <c:dPt>
            <c:idx val="25"/>
            <c:bubble3D val="0"/>
            <c:spPr>
              <a:solidFill>
                <a:schemeClr val="accent2">
                  <a:lumMod val="60000"/>
                  <a:lumOff val="40000"/>
                </a:schemeClr>
              </a:solidFill>
              <a:ln>
                <a:solidFill>
                  <a:schemeClr val="bg1"/>
                </a:solidFill>
              </a:ln>
              <a:effectLst/>
            </c:spPr>
            <c:extLst>
              <c:ext xmlns:c16="http://schemas.microsoft.com/office/drawing/2014/chart" uri="{C3380CC4-5D6E-409C-BE32-E72D297353CC}">
                <c16:uniqueId val="{00000033-31D2-4449-9091-7915CBD6B3F6}"/>
              </c:ext>
            </c:extLst>
          </c:dPt>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163.93</c:v>
                </c:pt>
                <c:pt idx="1">
                  <c:v>0</c:v>
                </c:pt>
                <c:pt idx="2">
                  <c:v>0</c:v>
                </c:pt>
                <c:pt idx="3">
                  <c:v>0</c:v>
                </c:pt>
                <c:pt idx="4">
                  <c:v>0</c:v>
                </c:pt>
                <c:pt idx="5">
                  <c:v>0</c:v>
                </c:pt>
                <c:pt idx="6">
                  <c:v>0</c:v>
                </c:pt>
                <c:pt idx="7">
                  <c:v>38.520000000000003</c:v>
                </c:pt>
                <c:pt idx="8">
                  <c:v>5.15</c:v>
                </c:pt>
                <c:pt idx="9">
                  <c:v>0</c:v>
                </c:pt>
                <c:pt idx="10">
                  <c:v>0</c:v>
                </c:pt>
                <c:pt idx="11">
                  <c:v>0</c:v>
                </c:pt>
                <c:pt idx="12">
                  <c:v>0</c:v>
                </c:pt>
                <c:pt idx="13">
                  <c:v>0</c:v>
                </c:pt>
                <c:pt idx="14">
                  <c:v>0</c:v>
                </c:pt>
                <c:pt idx="15">
                  <c:v>0</c:v>
                </c:pt>
                <c:pt idx="16">
                  <c:v>0</c:v>
                </c:pt>
                <c:pt idx="17">
                  <c:v>0</c:v>
                </c:pt>
                <c:pt idx="18">
                  <c:v>8.75</c:v>
                </c:pt>
                <c:pt idx="19">
                  <c:v>0</c:v>
                </c:pt>
                <c:pt idx="20">
                  <c:v>0</c:v>
                </c:pt>
                <c:pt idx="21">
                  <c:v>0</c:v>
                </c:pt>
                <c:pt idx="22">
                  <c:v>0</c:v>
                </c:pt>
                <c:pt idx="23">
                  <c:v>0</c:v>
                </c:pt>
                <c:pt idx="24">
                  <c:v>0</c:v>
                </c:pt>
                <c:pt idx="25">
                  <c:v>0</c:v>
                </c:pt>
              </c:numCache>
            </c:numRef>
          </c:val>
          <c:extLst>
            <c:ext xmlns:c16="http://schemas.microsoft.com/office/drawing/2014/chart" uri="{C3380CC4-5D6E-409C-BE32-E72D297353CC}">
              <c16:uniqueId val="{00000034-31D2-4449-9091-7915CBD6B3F6}"/>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38</Pages>
  <Words>2238</Words>
  <Characters>12758</Characters>
  <Application>Microsoft Office Word</Application>
  <DocSecurity>0</DocSecurity>
  <Lines>106</Lines>
  <Paragraphs>29</Paragraphs>
  <ScaleCrop>false</ScaleCrop>
  <Company>神州网信技术有限公司</Company>
  <LinksUpToDate>false</LinksUpToDate>
  <CharactersWithSpaces>14967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187</cp:revision>
  <cp:lastPrinted>2023-08-04T01:00:00Z</cp:lastPrinted>
  <dcterms:created xsi:type="dcterms:W3CDTF">2025-11-23T07:24:00Z</dcterms:created>
  <dcterms:modified xsi:type="dcterms:W3CDTF">2025-11-24T07:46:00Z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