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7854" w:rsidRDefault="00E00414">
      <w:pPr>
        <w:spacing w:line="600" w:lineRule="auto"/>
        <w:rPr>
          <w:rFonts w:ascii="楷体_GB2312" w:eastAsia="楷体_GB2312" w:hAnsi="楷体_GB2312" w:cs="楷体_GB2312"/>
          <w:color w:val="000000"/>
          <w:sz w:val="40"/>
          <w:szCs w:val="40"/>
        </w:rPr>
      </w:pPr>
      <w:r>
        <w:rPr>
          <w:noProof/>
        </w:rP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cstate="print">
                      <a:lum bright="6000"/>
                    </a:blip>
                    <a:srcRect t="559" b="3637"/>
                    <a:stretch>
                      <a:fillRect/>
                    </a:stretch>
                  </pic:blipFill>
                  <pic:spPr>
                    <a:xfrm>
                      <a:off x="0" y="0"/>
                      <a:ext cx="8646795" cy="11107420"/>
                    </a:xfrm>
                    <a:prstGeom prst="rect">
                      <a:avLst/>
                    </a:prstGeom>
                  </pic:spPr>
                </pic:pic>
              </a:graphicData>
            </a:graphic>
          </wp:anchor>
        </w:drawing>
      </w:r>
      <w:r w:rsidR="00F61390">
        <w:pict>
          <v:shapetype id="_x0000_t202" coordsize="21600,21600" o:spt="202" path="m,l,21600r21600,l21600,xe">
            <v:stroke joinstyle="miter"/>
            <v:path gradientshapeok="t" o:connecttype="rect"/>
          </v:shapetype>
          <v:shape id="_x0000_s1026" type="#_x0000_t202" alt="7b0a2020202022776f7264617274223a20227b5c2269645c223a32353030323136362c5c227469645c223a5c225c227d220a7d0a" style="position:absolute;left:0;text-align:left;margin-left:-43.05pt;margin-top:19.95pt;width:506.4pt;height:225.4pt;z-index:251660288;mso-position-horizontal-relative:text;mso-position-vertical-relative:text;mso-width-relative:page;mso-height-relative:page" filled="f" stroked="f">
            <v:textbox>
              <w:txbxContent>
                <w:p w:rsidR="00C37854" w:rsidRDefault="00E00414">
                  <w:pPr>
                    <w:spacing w:line="1400" w:lineRule="exact"/>
                    <w:jc w:val="left"/>
                    <w:rPr>
                      <w:rFonts w:ascii="方正小标宋_GBK" w:eastAsia="方正小标宋_GBK" w:hAnsi="方正小标宋_GBK" w:cs="方正小标宋_GBK"/>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rsidR="00C37854" w:rsidRDefault="00E00414">
                  <w:pPr>
                    <w:spacing w:line="1400" w:lineRule="exact"/>
                    <w:jc w:val="left"/>
                    <w:rPr>
                      <w:rFonts w:ascii="方正小标宋_GBK" w:eastAsia="方正小标宋_GBK" w:hAnsi="方正小标宋_GBK" w:cs="方正小标宋_GBK"/>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v:textbox>
          </v:shape>
        </w:pict>
      </w: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E00414">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：241</w:t>
      </w:r>
    </w:p>
    <w:p w:rsidR="00C37854" w:rsidRDefault="00E00414">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：井陉县档案馆（中共井陉县委党史县志研究中心）</w:t>
      </w:r>
    </w:p>
    <w:p w:rsidR="00C37854" w:rsidRDefault="00C37854">
      <w:pPr>
        <w:spacing w:line="600" w:lineRule="auto"/>
        <w:rPr>
          <w:rFonts w:ascii="楷体_GB2312" w:eastAsia="楷体_GB2312" w:hAnsi="楷体_GB2312" w:cs="楷体_GB2312"/>
          <w:color w:val="000000"/>
          <w:sz w:val="40"/>
          <w:szCs w:val="40"/>
        </w:rPr>
        <w:sectPr w:rsidR="00C37854">
          <w:headerReference w:type="default" r:id="rId9"/>
          <w:footerReference w:type="default" r:id="rId10"/>
          <w:pgSz w:w="11906" w:h="16838"/>
          <w:pgMar w:top="2098" w:right="1417" w:bottom="1871" w:left="1417" w:header="851" w:footer="992" w:gutter="0"/>
          <w:pgNumType w:start="1"/>
          <w:cols w:space="720"/>
          <w:docGrid w:type="lines" w:linePitch="312"/>
        </w:sectPr>
      </w:pPr>
    </w:p>
    <w:p w:rsidR="00C37854" w:rsidRDefault="00C37854">
      <w:pPr>
        <w:spacing w:line="600" w:lineRule="auto"/>
        <w:jc w:val="center"/>
        <w:rPr>
          <w:rFonts w:ascii="楷体_GB2312" w:eastAsia="楷体_GB2312" w:hAnsi="楷体_GB2312" w:cs="楷体_GB2312"/>
          <w:color w:val="000000"/>
          <w:sz w:val="40"/>
          <w:szCs w:val="40"/>
        </w:rPr>
      </w:pPr>
    </w:p>
    <w:p w:rsidR="00C37854" w:rsidRDefault="00C37854">
      <w:pPr>
        <w:rPr>
          <w:rFonts w:ascii="黑体" w:eastAsia="黑体" w:hAnsi="黑体" w:cs="黑体"/>
          <w:b/>
          <w:bCs/>
          <w:sz w:val="32"/>
          <w:szCs w:val="36"/>
          <w:highlight w:val="yellow"/>
        </w:rPr>
      </w:pPr>
    </w:p>
    <w:p w:rsidR="00C37854" w:rsidRDefault="00E00414">
      <w:pPr>
        <w:widowControl/>
        <w:spacing w:line="360" w:lineRule="auto"/>
        <w:jc w:val="center"/>
        <w:rPr>
          <w:rFonts w:ascii="Times New Roman" w:eastAsia="方正小标宋_GBK"/>
          <w:sz w:val="72"/>
          <w:szCs w:val="72"/>
        </w:rPr>
      </w:pPr>
      <w:bookmarkStart w:id="0" w:name="OLE_LINK5"/>
      <w:bookmarkStart w:id="1" w:name="OLE_LINK6"/>
      <w:r>
        <w:rPr>
          <w:rFonts w:ascii="Times New Roman" w:eastAsia="方正小标宋_GBK"/>
          <w:sz w:val="72"/>
          <w:szCs w:val="72"/>
        </w:rPr>
        <w:t>井陉县档案馆</w:t>
      </w:r>
    </w:p>
    <w:p w:rsidR="00C37854" w:rsidRDefault="00E00414">
      <w:pPr>
        <w:widowControl/>
        <w:spacing w:line="360" w:lineRule="auto"/>
        <w:jc w:val="center"/>
        <w:rPr>
          <w:rFonts w:ascii="Times New Roman" w:eastAsia="方正小标宋_GBK"/>
          <w:sz w:val="72"/>
          <w:szCs w:val="72"/>
        </w:rPr>
      </w:pPr>
      <w:r>
        <w:rPr>
          <w:rFonts w:ascii="Times New Roman" w:eastAsia="方正小标宋_GBK"/>
          <w:sz w:val="72"/>
          <w:szCs w:val="72"/>
        </w:rPr>
        <w:t>（中共井陉县委党史县志研究中心）</w:t>
      </w:r>
    </w:p>
    <w:p w:rsidR="00C37854" w:rsidRDefault="00E00414">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bookmarkStart w:id="2" w:name="_GoBack"/>
      <w:bookmarkEnd w:id="2"/>
    </w:p>
    <w:bookmarkEnd w:id="0"/>
    <w:bookmarkEnd w:id="1"/>
    <w:p w:rsidR="00C37854" w:rsidRDefault="00C37854">
      <w:pPr>
        <w:spacing w:line="360" w:lineRule="auto"/>
        <w:jc w:val="center"/>
        <w:rPr>
          <w:rFonts w:ascii="黑体" w:eastAsia="黑体" w:hAnsi="黑体" w:cs="黑体"/>
          <w:sz w:val="56"/>
          <w:szCs w:val="72"/>
        </w:rPr>
      </w:pPr>
    </w:p>
    <w:p w:rsidR="00C37854" w:rsidRDefault="00C37854">
      <w:pPr>
        <w:spacing w:line="600" w:lineRule="auto"/>
        <w:jc w:val="center"/>
        <w:rPr>
          <w:rFonts w:ascii="黑体" w:eastAsia="黑体" w:hAnsi="黑体" w:cs="黑体"/>
          <w:sz w:val="56"/>
          <w:szCs w:val="72"/>
        </w:rPr>
      </w:pPr>
    </w:p>
    <w:p w:rsidR="00C37854" w:rsidRDefault="00C37854">
      <w:pPr>
        <w:spacing w:line="600" w:lineRule="auto"/>
        <w:jc w:val="center"/>
        <w:rPr>
          <w:rFonts w:ascii="黑体" w:eastAsia="黑体" w:hAnsi="黑体" w:cs="黑体"/>
          <w:sz w:val="56"/>
          <w:szCs w:val="72"/>
        </w:rPr>
      </w:pPr>
    </w:p>
    <w:p w:rsidR="00C37854" w:rsidRDefault="00C37854">
      <w:pPr>
        <w:spacing w:line="480" w:lineRule="auto"/>
        <w:rPr>
          <w:rFonts w:ascii="黑体" w:eastAsia="黑体" w:hAnsi="黑体" w:cs="黑体"/>
          <w:sz w:val="56"/>
          <w:szCs w:val="72"/>
        </w:rPr>
      </w:pP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井陉县档案馆</w:t>
      </w: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（中共井陉县委党史县志研究中心）</w:t>
      </w: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ascii="Times New Roman" w:eastAsia="楷体_GB2312" w:hint="eastAsia"/>
          <w:sz w:val="44"/>
          <w:szCs w:val="44"/>
        </w:rPr>
        <w:t>十一</w:t>
      </w:r>
      <w:r>
        <w:rPr>
          <w:rFonts w:ascii="Times New Roman" w:eastAsia="楷体_GB2312"/>
          <w:sz w:val="44"/>
          <w:szCs w:val="44"/>
        </w:rPr>
        <w:t>月</w:t>
      </w:r>
    </w:p>
    <w:p w:rsidR="00C37854" w:rsidRDefault="00C37854">
      <w:pPr>
        <w:snapToGrid w:val="0"/>
        <w:jc w:val="left"/>
        <w:rPr>
          <w:rFonts w:ascii="楷体_GB2312" w:eastAsia="楷体_GB2312" w:hAnsi="楷体_GB2312" w:cs="楷体_GB2312"/>
          <w:color w:val="000000" w:themeColor="text1"/>
          <w:sz w:val="44"/>
          <w:szCs w:val="44"/>
        </w:rPr>
        <w:sectPr w:rsidR="00C37854">
          <w:footerReference w:type="default" r:id="rId11"/>
          <w:pgSz w:w="11906" w:h="16838"/>
          <w:pgMar w:top="1531" w:right="1984" w:bottom="1531" w:left="2098" w:header="851" w:footer="992" w:gutter="0"/>
          <w:cols w:space="720"/>
          <w:docGrid w:type="lines" w:linePitch="312"/>
        </w:sectPr>
      </w:pPr>
    </w:p>
    <w:p w:rsidR="00C37854" w:rsidRDefault="00C37854">
      <w:pPr>
        <w:widowControl/>
        <w:spacing w:line="600" w:lineRule="exact"/>
        <w:jc w:val="left"/>
        <w:rPr>
          <w:rFonts w:ascii="黑体" w:eastAsia="黑体" w:hAnsi="黑体" w:cs="黑体"/>
          <w:bCs/>
          <w:sz w:val="32"/>
          <w:szCs w:val="32"/>
        </w:rPr>
      </w:pPr>
    </w:p>
    <w:p w:rsidR="00C37854" w:rsidRDefault="00C37854">
      <w:pPr>
        <w:tabs>
          <w:tab w:val="left" w:pos="2728"/>
        </w:tabs>
        <w:jc w:val="center"/>
        <w:rPr>
          <w:rFonts w:ascii="黑体" w:eastAsia="黑体" w:hAnsi="Times New Roman" w:cs="Times New Roman"/>
          <w:sz w:val="48"/>
          <w:szCs w:val="48"/>
        </w:r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t>目</w:t>
      </w:r>
      <w:r>
        <w:rPr>
          <w:rFonts w:ascii="Times New Roman" w:eastAsia="黑体"/>
          <w:sz w:val="44"/>
          <w:szCs w:val="44"/>
        </w:rPr>
        <w:t xml:space="preserve">  </w:t>
      </w:r>
      <w:r>
        <w:rPr>
          <w:rFonts w:ascii="Times New Roman" w:eastAsia="黑体"/>
          <w:sz w:val="44"/>
          <w:szCs w:val="44"/>
        </w:rPr>
        <w:t>录</w:t>
      </w:r>
    </w:p>
    <w:p w:rsidR="00C37854" w:rsidRDefault="00C37854">
      <w:pPr>
        <w:widowControl/>
        <w:spacing w:after="160" w:line="580" w:lineRule="exact"/>
        <w:ind w:firstLineChars="200" w:firstLine="640"/>
        <w:rPr>
          <w:rFonts w:ascii="Times New Roman" w:eastAsia="黑体" w:hAnsi="Times New Roman" w:cs="Times New Roman"/>
          <w:sz w:val="32"/>
          <w:szCs w:val="32"/>
        </w:rPr>
      </w:pP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第一部分</w:t>
      </w:r>
      <w:r>
        <w:rPr>
          <w:rFonts w:ascii="Times New Roman" w:eastAsia="黑体" w:hint="eastAsia"/>
          <w:sz w:val="32"/>
          <w:szCs w:val="32"/>
        </w:rPr>
        <w:t xml:space="preserve"> </w:t>
      </w:r>
      <w:r>
        <w:rPr>
          <w:rFonts w:ascii="Times New Roman" w:eastAsia="黑体"/>
          <w:sz w:val="32"/>
          <w:szCs w:val="32"/>
        </w:rPr>
        <w:t>部门概况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一、部门职责</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二、机构设置</w:t>
      </w:r>
    </w:p>
    <w:p w:rsidR="00C37854" w:rsidRDefault="00E00414">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ascii="Times New Roman" w:eastAsia="黑体"/>
          <w:sz w:val="32"/>
          <w:szCs w:val="32"/>
        </w:rPr>
        <w:t xml:space="preserve"> 2024</w:t>
      </w:r>
      <w:r>
        <w:rPr>
          <w:rFonts w:ascii="Times New Roman" w:eastAsia="黑体"/>
          <w:sz w:val="32"/>
          <w:szCs w:val="32"/>
        </w:rPr>
        <w:t>年度部门决算报表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五、一般公共预算财政拨款支出决算表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六、一般公共预算财政拨款基本支出决算明细表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七、政府性基金预算财政拨款收入支出决算表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八、国有资本经营预算财政拨款支出决算表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w:t>
      </w: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第三部分</w:t>
      </w:r>
      <w:r>
        <w:rPr>
          <w:rFonts w:ascii="Times New Roman" w:eastAsia="黑体"/>
          <w:sz w:val="32"/>
          <w:szCs w:val="32"/>
        </w:rPr>
        <w:t xml:space="preserve"> 2024</w:t>
      </w:r>
      <w:r>
        <w:rPr>
          <w:rFonts w:ascii="Times New Roman" w:eastAsia="黑体"/>
          <w:sz w:val="32"/>
          <w:szCs w:val="32"/>
        </w:rPr>
        <w:t>年度部门决算情况说明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五、财政拨款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六、机关运行经费支出说明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七、政府采购支出说明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八、国有资产占用情况说明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九、关于</w:t>
      </w:r>
      <w:r>
        <w:rPr>
          <w:rFonts w:ascii="Times New Roman" w:eastAsia="仿宋_GB2312"/>
          <w:sz w:val="32"/>
          <w:szCs w:val="32"/>
        </w:rPr>
        <w:t>2024</w:t>
      </w:r>
      <w:r>
        <w:rPr>
          <w:rFonts w:ascii="Times New Roman" w:eastAsia="仿宋_GB2312"/>
          <w:sz w:val="32"/>
          <w:szCs w:val="32"/>
        </w:rPr>
        <w:t>年度绩效评价情况的说明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十、其他需要说明的情况</w:t>
      </w: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第四部分</w:t>
      </w:r>
      <w:r>
        <w:rPr>
          <w:rFonts w:ascii="Times New Roman" w:eastAsia="黑体"/>
          <w:sz w:val="32"/>
          <w:szCs w:val="32"/>
        </w:rPr>
        <w:t xml:space="preserve"> </w:t>
      </w:r>
      <w:r>
        <w:rPr>
          <w:rFonts w:ascii="Times New Roman" w:eastAsia="黑体"/>
          <w:sz w:val="32"/>
          <w:szCs w:val="32"/>
        </w:rPr>
        <w:t>名词解释</w:t>
      </w:r>
    </w:p>
    <w:p w:rsidR="00C37854" w:rsidRDefault="00C37854">
      <w:pPr>
        <w:widowControl/>
        <w:spacing w:after="160" w:line="580" w:lineRule="exact"/>
        <w:rPr>
          <w:rFonts w:ascii="Times New Roman" w:eastAsia="黑体" w:hAnsi="Times New Roman" w:cs="Times New Roman"/>
          <w:sz w:val="32"/>
          <w:szCs w:val="32"/>
        </w:rPr>
        <w:sectPr w:rsidR="00C37854">
          <w:headerReference w:type="default" r:id="rId12"/>
          <w:footerReference w:type="default" r:id="rId13"/>
          <w:headerReference w:type="first" r:id="rId14"/>
          <w:footerReference w:type="first" r:id="rId15"/>
          <w:pgSz w:w="11906" w:h="16838"/>
          <w:pgMar w:top="1474" w:right="1531" w:bottom="1474" w:left="1531" w:header="851" w:footer="992" w:gutter="0"/>
          <w:cols w:space="0"/>
          <w:titlePg/>
          <w:docGrid w:type="lines" w:linePitch="312"/>
        </w:sect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第一部分部门概况</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1、贯彻执行国家、省、市、县有关档案管理的法律、</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法规、规章,配合做好档案公共事务工作。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2、集中统一管理县直单位各历史时期的档案资料，保管革命历史、旧政权、著名人物以及具有地方特色的各种档案资料，保守党和国家机密，维护档案完整，确保档案资料安全。</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3、接收县委、县人大、县政府、县政协、县纪委监委及县直各机关、单位、各乡镇党委、政府应进馆的档案资料。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4、征集、搜集、整理散存在社会上对国家和社会有保存价值的珍贵档案和党史、地方志文献资料。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5、负责馆藏档案资料和旧志的整理、编目、鉴定、统计和技术保护工作。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6、依法开放档案，为党和政府及社会各方面提供利用服务。</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7、承担政府公开信息的收集、管理和集中查阅工作。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8、开发档案和党史、地方志信息资源，建立方志馆，开展档案史料编研出版、展览陈列和社会教育活动。</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9、运用现代化技术手段，开展馆藏档案信息化建设。</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lastRenderedPageBreak/>
        <w:t>10、编纂党史、地方志书、地方综合年鉴和其他地情资料。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11、开展档案和党史、方志理论研究，进行学术交流。</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12、完成县委交办的其他任务。</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从决算编报单位构成看，纳入</w:t>
      </w:r>
      <w:r>
        <w:rPr>
          <w:rFonts w:ascii="Times New Roman" w:eastAsia="仿宋_GB2312"/>
          <w:sz w:val="32"/>
          <w:szCs w:val="32"/>
        </w:rPr>
        <w:t>2024</w:t>
      </w:r>
      <w:r>
        <w:rPr>
          <w:rFonts w:ascii="Times New Roman" w:eastAsia="仿宋_GB2312"/>
          <w:sz w:val="32"/>
          <w:szCs w:val="32"/>
        </w:rPr>
        <w:t>年度本部门决算汇编范围的独立核算单位（以下简称</w:t>
      </w:r>
      <w:r>
        <w:rPr>
          <w:rFonts w:ascii="Times New Roman" w:eastAsia="仿宋_GB2312"/>
          <w:sz w:val="32"/>
          <w:szCs w:val="32"/>
        </w:rPr>
        <w:t>“</w:t>
      </w:r>
      <w:r>
        <w:rPr>
          <w:rFonts w:ascii="Times New Roman" w:eastAsia="仿宋_GB2312"/>
          <w:sz w:val="32"/>
          <w:szCs w:val="32"/>
        </w:rPr>
        <w:t>单位</w:t>
      </w:r>
      <w:r>
        <w:rPr>
          <w:rFonts w:ascii="Times New Roman" w:eastAsia="仿宋_GB2312"/>
          <w:sz w:val="32"/>
          <w:szCs w:val="32"/>
        </w:rPr>
        <w:t>”</w:t>
      </w:r>
      <w:r>
        <w:rPr>
          <w:rFonts w:ascii="Times New Roman" w:eastAsia="仿宋_GB2312"/>
          <w:sz w:val="32"/>
          <w:szCs w:val="32"/>
        </w:rPr>
        <w:t>）共</w:t>
      </w:r>
      <w:r>
        <w:rPr>
          <w:rFonts w:ascii="Times New Roman" w:eastAsia="仿宋_GB2312" w:hint="eastAsia"/>
          <w:sz w:val="32"/>
          <w:szCs w:val="32"/>
        </w:rPr>
        <w:t>1</w:t>
      </w:r>
      <w:r>
        <w:rPr>
          <w:rFonts w:ascii="Times New Roman" w:eastAsia="仿宋_GB2312"/>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C37854">
        <w:trPr>
          <w:trHeight w:val="811"/>
          <w:jc w:val="center"/>
        </w:trPr>
        <w:tc>
          <w:tcPr>
            <w:tcW w:w="98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48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44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C37854">
        <w:trPr>
          <w:trHeight w:val="596"/>
          <w:jc w:val="center"/>
        </w:trPr>
        <w:tc>
          <w:tcPr>
            <w:tcW w:w="98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48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井陉县档案馆（中共井陉县委党史县志研究中心）(本级)</w:t>
            </w:r>
          </w:p>
        </w:tc>
        <w:tc>
          <w:tcPr>
            <w:tcW w:w="244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参公事业单位</w:t>
            </w:r>
          </w:p>
        </w:tc>
        <w:tc>
          <w:tcPr>
            <w:tcW w:w="266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财政拨款</w:t>
            </w:r>
          </w:p>
        </w:tc>
      </w:tr>
    </w:tbl>
    <w:p w:rsidR="00C37854" w:rsidRDefault="00E00414">
      <w:pPr>
        <w:rPr>
          <w:rFonts w:ascii="仿宋" w:eastAsia="仿宋" w:hAnsi="仿宋" w:cs="Times New Roman"/>
          <w:sz w:val="32"/>
          <w:szCs w:val="32"/>
        </w:rPr>
      </w:pPr>
      <w:r>
        <w:rPr>
          <w:rFonts w:ascii="仿宋" w:eastAsia="仿宋" w:hAnsi="仿宋" w:cs="Times New Roman" w:hint="eastAsia"/>
          <w:sz w:val="32"/>
          <w:szCs w:val="32"/>
        </w:rPr>
        <w:t>注：1、单位基本性质分为行政单位、参公事业单位、财政补助事业单位、经费自理事业单位四类。</w:t>
      </w:r>
    </w:p>
    <w:p w:rsidR="00C37854" w:rsidRDefault="00E00414">
      <w:pPr>
        <w:rPr>
          <w:rFonts w:ascii="仿宋" w:eastAsia="仿宋" w:hAnsi="仿宋" w:cs="Times New Roman"/>
          <w:sz w:val="32"/>
          <w:szCs w:val="32"/>
        </w:rPr>
      </w:pPr>
      <w:r>
        <w:rPr>
          <w:rFonts w:ascii="仿宋" w:eastAsia="仿宋" w:hAnsi="仿宋" w:cs="Times New Roman" w:hint="eastAsia"/>
          <w:sz w:val="32"/>
          <w:szCs w:val="32"/>
        </w:rPr>
        <w:t>2、经费形式分为财政拨款、财政性资金基本保证、财政性资金定额或定项补助、财政性资金零补助四类。</w:t>
      </w:r>
    </w:p>
    <w:p w:rsidR="00C37854" w:rsidRDefault="00E00414">
      <w:pPr>
        <w:rPr>
          <w:rFonts w:ascii="仿宋" w:eastAsia="仿宋" w:hAnsi="仿宋" w:cs="Times New Roman"/>
          <w:sz w:val="32"/>
          <w:szCs w:val="32"/>
        </w:rPr>
      </w:pPr>
      <w:r>
        <w:rPr>
          <w:rFonts w:ascii="仿宋" w:eastAsia="仿宋" w:hAnsi="仿宋" w:cs="Times New Roman" w:hint="eastAsia"/>
          <w:sz w:val="32"/>
          <w:szCs w:val="32"/>
        </w:rPr>
        <w:t xml:space="preserve"> </w:t>
      </w:r>
      <w:r>
        <w:rPr>
          <w:rFonts w:ascii="仿宋" w:eastAsia="仿宋" w:hAnsi="仿宋" w:cs="Times New Roman"/>
          <w:sz w:val="32"/>
          <w:szCs w:val="32"/>
        </w:rPr>
        <w:t xml:space="preserve">   </w:t>
      </w:r>
    </w:p>
    <w:p w:rsidR="00C37854" w:rsidRDefault="00C37854">
      <w:pPr>
        <w:rPr>
          <w:rFonts w:ascii="Times New Roman" w:eastAsia="黑体" w:hAnsi="Times New Roman" w:cs="Times New Roman"/>
          <w:sz w:val="32"/>
          <w:szCs w:val="32"/>
        </w:rPr>
      </w:pPr>
    </w:p>
    <w:p w:rsidR="00C37854" w:rsidRDefault="00C37854">
      <w:pPr>
        <w:rPr>
          <w:rFonts w:ascii="Times New Roman" w:eastAsia="黑体" w:hAnsi="Times New Roman" w:cs="Times New Roman"/>
          <w:sz w:val="32"/>
          <w:szCs w:val="32"/>
        </w:rPr>
      </w:pPr>
    </w:p>
    <w:p w:rsidR="00C37854" w:rsidRDefault="00C37854">
      <w:pPr>
        <w:rPr>
          <w:rFonts w:ascii="Times New Roman" w:eastAsia="黑体" w:hAnsi="Times New Roman" w:cs="Times New Roman"/>
          <w:sz w:val="32"/>
          <w:szCs w:val="32"/>
          <w:highlight w:val="yellow"/>
        </w:rPr>
      </w:pPr>
    </w:p>
    <w:p w:rsidR="00C37854" w:rsidRDefault="00C37854">
      <w:pPr>
        <w:widowControl/>
        <w:spacing w:line="360" w:lineRule="auto"/>
        <w:jc w:val="center"/>
        <w:outlineLvl w:val="0"/>
        <w:rPr>
          <w:rFonts w:ascii="Times New Roman" w:eastAsia="黑体"/>
          <w:sz w:val="44"/>
          <w:szCs w:val="44"/>
        </w:rPr>
      </w:pPr>
    </w:p>
    <w:p w:rsidR="00C37854" w:rsidRDefault="00C37854">
      <w:pPr>
        <w:widowControl/>
        <w:spacing w:line="360" w:lineRule="auto"/>
        <w:jc w:val="center"/>
        <w:outlineLvl w:val="0"/>
        <w:rPr>
          <w:rFonts w:ascii="Times New Roman" w:eastAsia="黑体"/>
          <w:sz w:val="44"/>
          <w:szCs w:val="44"/>
        </w:r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第二部分</w:t>
      </w:r>
      <w:r>
        <w:rPr>
          <w:rFonts w:ascii="Times New Roman" w:eastAsia="黑体" w:hint="eastAsia"/>
          <w:sz w:val="44"/>
          <w:szCs w:val="44"/>
        </w:rPr>
        <w:t xml:space="preserve"> </w:t>
      </w:r>
      <w:r>
        <w:rPr>
          <w:rFonts w:ascii="Times New Roman" w:eastAsia="仿宋_GB2312"/>
          <w:sz w:val="44"/>
          <w:szCs w:val="44"/>
        </w:rPr>
        <w:t>2024</w:t>
      </w:r>
      <w:r>
        <w:rPr>
          <w:rFonts w:ascii="Times New Roman" w:eastAsia="黑体"/>
          <w:sz w:val="44"/>
          <w:szCs w:val="44"/>
        </w:rPr>
        <w:t>年度部门决算表</w:t>
      </w:r>
    </w:p>
    <w:tbl>
      <w:tblPr>
        <w:tblW w:w="7250" w:type="pct"/>
        <w:tblInd w:w="-1817" w:type="dxa"/>
        <w:tblLayout w:type="fixed"/>
        <w:tblLook w:val="04A0" w:firstRow="1" w:lastRow="0" w:firstColumn="1" w:lastColumn="0" w:noHBand="0" w:noVBand="1"/>
      </w:tblPr>
      <w:tblGrid>
        <w:gridCol w:w="3343"/>
        <w:gridCol w:w="623"/>
        <w:gridCol w:w="613"/>
        <w:gridCol w:w="1317"/>
        <w:gridCol w:w="1625"/>
        <w:gridCol w:w="1548"/>
        <w:gridCol w:w="623"/>
        <w:gridCol w:w="1931"/>
        <w:gridCol w:w="35"/>
      </w:tblGrid>
      <w:tr w:rsidR="00C37854">
        <w:trPr>
          <w:gridAfter w:val="1"/>
          <w:wAfter w:w="14" w:type="pct"/>
          <w:trHeight w:val="361"/>
        </w:trPr>
        <w:tc>
          <w:tcPr>
            <w:tcW w:w="4985" w:type="pct"/>
            <w:gridSpan w:val="8"/>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t>收入支出决算总表</w:t>
            </w:r>
          </w:p>
        </w:tc>
      </w:tr>
      <w:tr w:rsidR="00C37854">
        <w:trPr>
          <w:gridAfter w:val="1"/>
          <w:wAfter w:w="14" w:type="pct"/>
          <w:trHeight w:val="357"/>
        </w:trPr>
        <w:tc>
          <w:tcPr>
            <w:tcW w:w="4985" w:type="pct"/>
            <w:gridSpan w:val="8"/>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rPr>
              <w:t>表</w:t>
            </w:r>
          </w:p>
        </w:tc>
      </w:tr>
      <w:tr w:rsidR="00C37854">
        <w:trPr>
          <w:gridAfter w:val="1"/>
          <w:wAfter w:w="14" w:type="pct"/>
          <w:trHeight w:val="351"/>
        </w:trPr>
        <w:tc>
          <w:tcPr>
            <w:tcW w:w="1964" w:type="pct"/>
            <w:gridSpan w:val="3"/>
            <w:tcBorders>
              <w:top w:val="nil"/>
              <w:left w:val="nil"/>
              <w:bottom w:val="single" w:sz="4" w:space="0" w:color="auto"/>
              <w:right w:val="nil"/>
            </w:tcBorders>
            <w:noWrap/>
            <w:vAlign w:val="bottom"/>
          </w:tcPr>
          <w:p w:rsidR="00C37854" w:rsidRDefault="00E00414">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部门（单位）：井陉县档案馆（中共井陉县委党史县志研究中心）</w:t>
            </w:r>
          </w:p>
        </w:tc>
        <w:tc>
          <w:tcPr>
            <w:tcW w:w="1262" w:type="pct"/>
            <w:gridSpan w:val="2"/>
            <w:tcBorders>
              <w:top w:val="nil"/>
              <w:left w:val="nil"/>
              <w:bottom w:val="single" w:sz="4" w:space="0" w:color="auto"/>
              <w:right w:val="nil"/>
            </w:tcBorders>
            <w:noWrap/>
            <w:vAlign w:val="bottom"/>
          </w:tcPr>
          <w:p w:rsidR="00C37854" w:rsidRDefault="00E00414">
            <w:pPr>
              <w:jc w:val="center"/>
              <w:rPr>
                <w:rFonts w:ascii="宋体" w:eastAsia="宋体" w:hAnsi="宋体"/>
                <w:color w:val="000000"/>
                <w:sz w:val="20"/>
                <w:szCs w:val="20"/>
              </w:rPr>
            </w:pPr>
            <w:r>
              <w:rPr>
                <w:rFonts w:ascii="Times New Roman" w:eastAsia="宋体" w:hAnsi="Times New Roman" w:cs="Times New Roman" w:hint="eastAsia"/>
                <w:color w:val="000000"/>
                <w:sz w:val="20"/>
                <w:szCs w:val="20"/>
              </w:rPr>
              <w:t>2024</w:t>
            </w:r>
            <w:r>
              <w:rPr>
                <w:rFonts w:ascii="方正仿宋_GB2312" w:eastAsia="方正仿宋_GB2312" w:hAnsi="方正仿宋_GB2312" w:cs="方正仿宋_GB2312" w:hint="eastAsia"/>
                <w:color w:val="000000"/>
                <w:sz w:val="20"/>
                <w:szCs w:val="20"/>
              </w:rPr>
              <w:t>年度</w:t>
            </w:r>
          </w:p>
        </w:tc>
        <w:tc>
          <w:tcPr>
            <w:tcW w:w="1757" w:type="pct"/>
            <w:gridSpan w:val="3"/>
            <w:tcBorders>
              <w:top w:val="nil"/>
              <w:left w:val="nil"/>
              <w:bottom w:val="single" w:sz="4" w:space="0" w:color="auto"/>
              <w:right w:val="nil"/>
            </w:tcBorders>
            <w:noWrap/>
            <w:vAlign w:val="bottom"/>
          </w:tcPr>
          <w:p w:rsidR="00C37854" w:rsidRDefault="00E00414">
            <w:pPr>
              <w:jc w:val="right"/>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gridAfter w:val="1"/>
          <w:wAfter w:w="14" w:type="pct"/>
          <w:trHeight w:val="544"/>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收入</w:t>
            </w:r>
          </w:p>
        </w:tc>
        <w:tc>
          <w:tcPr>
            <w:tcW w:w="2456" w:type="pct"/>
            <w:gridSpan w:val="4"/>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支出</w:t>
            </w:r>
          </w:p>
        </w:tc>
      </w:tr>
      <w:tr w:rsidR="00C37854">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82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82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267"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82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1</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267"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82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2</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四、上级补助收入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五、事业收入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六、经营收入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七、附属单位上缴收入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八、其他收入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auto"/>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826" w:type="pct"/>
            <w:gridSpan w:val="2"/>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auto"/>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267"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826"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826" w:type="pct"/>
            <w:gridSpan w:val="2"/>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826"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二十二、灾害防治及应急管理支出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使用非财政拨款结余（含专用结余）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结余分配</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widowControl/>
              <w:jc w:val="center"/>
              <w:textAlignment w:val="center"/>
              <w:rPr>
                <w:rFonts w:ascii="方正仿宋_GB2312" w:eastAsia="方正仿宋_GB2312" w:hAnsi="方正仿宋_GB2312" w:cs="方正仿宋_GB2312"/>
                <w:b/>
                <w:bCs/>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C37854">
            <w:pPr>
              <w:widowControl/>
              <w:jc w:val="center"/>
              <w:textAlignment w:val="center"/>
              <w:rPr>
                <w:rFonts w:ascii="方正仿宋_GB2312" w:eastAsia="方正仿宋_GB2312" w:hAnsi="方正仿宋_GB2312" w:cs="方正仿宋_GB2312"/>
                <w:b/>
                <w:bCs/>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r>
      <w:tr w:rsidR="00C37854">
        <w:trPr>
          <w:trHeight w:val="308"/>
        </w:trPr>
        <w:tc>
          <w:tcPr>
            <w:tcW w:w="5000" w:type="pct"/>
            <w:gridSpan w:val="9"/>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注：1.本表反映部门本年度的总收支和年末结转结余情况。</w:t>
            </w:r>
          </w:p>
          <w:p w:rsidR="00C37854" w:rsidRDefault="00E00414">
            <w:pPr>
              <w:widowControl/>
              <w:ind w:firstLineChars="200" w:firstLine="400"/>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2.本套报表金额转换时可能存在尾数误差。</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9230" w:type="dxa"/>
        <w:jc w:val="center"/>
        <w:tblLayout w:type="fixed"/>
        <w:tblLook w:val="04A0" w:firstRow="1" w:lastRow="0" w:firstColumn="1" w:lastColumn="0" w:noHBand="0" w:noVBand="1"/>
      </w:tblPr>
      <w:tblGrid>
        <w:gridCol w:w="1040"/>
        <w:gridCol w:w="1160"/>
        <w:gridCol w:w="1037"/>
        <w:gridCol w:w="1037"/>
        <w:gridCol w:w="1037"/>
        <w:gridCol w:w="964"/>
        <w:gridCol w:w="367"/>
        <w:gridCol w:w="597"/>
        <w:gridCol w:w="1027"/>
        <w:gridCol w:w="964"/>
      </w:tblGrid>
      <w:tr w:rsidR="00C37854">
        <w:trPr>
          <w:trHeight w:val="550"/>
          <w:jc w:val="center"/>
        </w:trPr>
        <w:tc>
          <w:tcPr>
            <w:tcW w:w="9230" w:type="dxa"/>
            <w:gridSpan w:val="10"/>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C37854">
        <w:trPr>
          <w:trHeight w:val="300"/>
          <w:jc w:val="center"/>
        </w:trPr>
        <w:tc>
          <w:tcPr>
            <w:tcW w:w="9230" w:type="dxa"/>
            <w:gridSpan w:val="10"/>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rPr>
              <w:t>表</w:t>
            </w:r>
          </w:p>
        </w:tc>
      </w:tr>
      <w:tr w:rsidR="00C37854">
        <w:trPr>
          <w:trHeight w:val="300"/>
          <w:jc w:val="center"/>
        </w:trPr>
        <w:tc>
          <w:tcPr>
            <w:tcW w:w="3237" w:type="dxa"/>
            <w:gridSpan w:val="3"/>
            <w:tcBorders>
              <w:top w:val="nil"/>
              <w:left w:val="nil"/>
              <w:bottom w:val="single" w:sz="4" w:space="0" w:color="auto"/>
              <w:right w:val="nil"/>
            </w:tcBorders>
            <w:noWrap/>
            <w:vAlign w:val="bottom"/>
          </w:tcPr>
          <w:p w:rsidR="00C37854" w:rsidRDefault="00E00414">
            <w:pP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p>
        </w:tc>
        <w:tc>
          <w:tcPr>
            <w:tcW w:w="3405" w:type="dxa"/>
            <w:gridSpan w:val="4"/>
            <w:tcBorders>
              <w:top w:val="nil"/>
              <w:left w:val="nil"/>
              <w:bottom w:val="single" w:sz="4" w:space="0" w:color="auto"/>
              <w:right w:val="nil"/>
            </w:tcBorders>
            <w:noWrap/>
            <w:vAlign w:val="bottom"/>
          </w:tcPr>
          <w:p w:rsidR="00C37854" w:rsidRDefault="00E00414">
            <w:pPr>
              <w:jc w:val="center"/>
              <w:rPr>
                <w:rFonts w:ascii="方正仿宋_GB2312" w:eastAsia="方正仿宋_GB2312" w:hAnsi="方正仿宋_GB2312" w:cs="方正仿宋_GB2312"/>
                <w:color w:val="000000"/>
                <w:sz w:val="20"/>
                <w:szCs w:val="20"/>
              </w:rPr>
            </w:pPr>
            <w:r>
              <w:rPr>
                <w:rFonts w:ascii="Times New Roman" w:eastAsia="方正仿宋_GB2312" w:hAnsi="Times New Roman" w:cs="Times New Roman"/>
                <w:color w:val="000000"/>
                <w:sz w:val="20"/>
                <w:szCs w:val="20"/>
              </w:rPr>
              <w:t>202</w:t>
            </w:r>
            <w:r>
              <w:rPr>
                <w:rFonts w:ascii="Times New Roman" w:eastAsia="方正仿宋_GB2312"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2588" w:type="dxa"/>
            <w:gridSpan w:val="3"/>
            <w:tcBorders>
              <w:top w:val="nil"/>
              <w:left w:val="nil"/>
              <w:bottom w:val="single" w:sz="4" w:space="0" w:color="auto"/>
              <w:right w:val="nil"/>
            </w:tcBorders>
            <w:noWrap/>
            <w:vAlign w:val="bottom"/>
          </w:tcPr>
          <w:p w:rsidR="00C37854" w:rsidRDefault="00E00414">
            <w:pPr>
              <w:jc w:val="righ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本年收入合计</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财政拨款收入</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上级补助收入</w:t>
            </w:r>
          </w:p>
        </w:tc>
        <w:tc>
          <w:tcPr>
            <w:tcW w:w="964" w:type="dxa"/>
            <w:vMerge w:val="restart"/>
            <w:tcBorders>
              <w:top w:val="single" w:sz="4" w:space="0" w:color="auto"/>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事业收入</w:t>
            </w:r>
          </w:p>
        </w:tc>
        <w:tc>
          <w:tcPr>
            <w:tcW w:w="964" w:type="dxa"/>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经营收入</w:t>
            </w:r>
          </w:p>
        </w:tc>
        <w:tc>
          <w:tcPr>
            <w:tcW w:w="102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其他收入</w:t>
            </w:r>
          </w:p>
        </w:tc>
      </w:tr>
      <w:tr w:rsidR="00C37854">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C37854" w:rsidRDefault="00C37854">
            <w:pPr>
              <w:widowControl/>
              <w:jc w:val="center"/>
              <w:textAlignment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964"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964" w:type="dxa"/>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c>
          <w:tcPr>
            <w:tcW w:w="102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6</w:t>
            </w:r>
          </w:p>
        </w:tc>
        <w:tc>
          <w:tcPr>
            <w:tcW w:w="964"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7</w:t>
            </w:r>
          </w:p>
        </w:tc>
      </w:tr>
      <w:tr w:rsidR="00C37854">
        <w:trPr>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216.35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216.35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20126</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档案事务</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2012604</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档案馆</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38.52</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38.52</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行政事业单位养老支出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36.16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36.16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行政单位离退休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spacing w:val="-2"/>
                <w:sz w:val="20"/>
                <w:szCs w:val="20"/>
              </w:rPr>
              <w:t>0</w:t>
            </w:r>
            <w:r>
              <w:rPr>
                <w:rFonts w:ascii="Times New Roman" w:eastAsia="宋体" w:hAnsi="Times New Roman" w:cs="Times New Roman"/>
                <w:spacing w:val="-2"/>
                <w:sz w:val="20"/>
                <w:szCs w:val="20"/>
              </w:rPr>
              <w:t>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spacing w:val="-2"/>
                <w:sz w:val="20"/>
                <w:szCs w:val="20"/>
              </w:rPr>
              <w:t>0</w:t>
            </w:r>
            <w:r>
              <w:rPr>
                <w:rFonts w:ascii="Times New Roman" w:eastAsia="宋体" w:hAnsi="Times New Roman" w:cs="Times New Roman"/>
                <w:spacing w:val="-2"/>
                <w:sz w:val="20"/>
                <w:szCs w:val="20"/>
              </w:rPr>
              <w:t>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事业单位离退休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25.21</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25.21</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机关事业单位基本养老保险缴费支出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10.90</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10.90</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2089999</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卫生健康支出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行政事业单位医疗</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事业单位医疗</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lastRenderedPageBreak/>
              <w:t>221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住房保障支出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住房改革支出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住房公积金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9230" w:type="dxa"/>
            <w:gridSpan w:val="10"/>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注：本表反映部门本年度取得的各项收入情况。</w:t>
            </w:r>
          </w:p>
        </w:tc>
      </w:tr>
    </w:tbl>
    <w:p w:rsidR="00C37854" w:rsidRDefault="00C37854">
      <w:pPr>
        <w:rPr>
          <w:rFonts w:ascii="仿宋_GB2312" w:eastAsia="仿宋_GB2312" w:hAnsi="宋体"/>
          <w:b/>
          <w:sz w:val="32"/>
          <w:szCs w:val="32"/>
        </w:rPr>
      </w:pPr>
    </w:p>
    <w:p w:rsidR="00C37854" w:rsidRDefault="00E00414">
      <w:pPr>
        <w:rPr>
          <w:rFonts w:ascii="黑体" w:eastAsia="黑体" w:hAnsi="黑体"/>
          <w:bCs/>
          <w:sz w:val="32"/>
          <w:szCs w:val="32"/>
        </w:rPr>
      </w:pPr>
      <w:r>
        <w:rPr>
          <w:rFonts w:ascii="仿宋_GB2312" w:eastAsia="仿宋_GB2312" w:hAnsi="宋体" w:hint="eastAsia"/>
          <w:b/>
          <w:sz w:val="32"/>
          <w:szCs w:val="32"/>
        </w:rPr>
        <w:br w:type="page"/>
      </w:r>
    </w:p>
    <w:tbl>
      <w:tblPr>
        <w:tblW w:w="5812" w:type="pct"/>
        <w:jc w:val="center"/>
        <w:tblLayout w:type="fixed"/>
        <w:tblLook w:val="04A0" w:firstRow="1" w:lastRow="0" w:firstColumn="1" w:lastColumn="0" w:noHBand="0" w:noVBand="1"/>
      </w:tblPr>
      <w:tblGrid>
        <w:gridCol w:w="1040"/>
        <w:gridCol w:w="1187"/>
        <w:gridCol w:w="1127"/>
        <w:gridCol w:w="127"/>
        <w:gridCol w:w="998"/>
        <w:gridCol w:w="1125"/>
        <w:gridCol w:w="499"/>
        <w:gridCol w:w="626"/>
        <w:gridCol w:w="1125"/>
        <w:gridCol w:w="1492"/>
      </w:tblGrid>
      <w:tr w:rsidR="00C37854">
        <w:trPr>
          <w:trHeight w:val="550"/>
          <w:jc w:val="center"/>
        </w:trPr>
        <w:tc>
          <w:tcPr>
            <w:tcW w:w="5000" w:type="pct"/>
            <w:gridSpan w:val="10"/>
            <w:tcBorders>
              <w:top w:val="nil"/>
              <w:left w:val="nil"/>
              <w:bottom w:val="nil"/>
              <w:right w:val="nil"/>
            </w:tcBorders>
            <w:noWrap/>
            <w:vAlign w:val="bottom"/>
          </w:tcPr>
          <w:p w:rsidR="00C37854" w:rsidRDefault="00E00414">
            <w:pPr>
              <w:jc w:val="center"/>
              <w:outlineLvl w:val="1"/>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br w:type="page"/>
              <w:t>支出决算表</w:t>
            </w:r>
          </w:p>
        </w:tc>
      </w:tr>
      <w:tr w:rsidR="00C37854">
        <w:trPr>
          <w:trHeight w:val="300"/>
          <w:jc w:val="center"/>
        </w:trPr>
        <w:tc>
          <w:tcPr>
            <w:tcW w:w="5000" w:type="pct"/>
            <w:gridSpan w:val="10"/>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03</w:t>
            </w:r>
            <w:r>
              <w:rPr>
                <w:rFonts w:ascii="方正仿宋_GB2312" w:eastAsia="方正仿宋_GB2312" w:hAnsi="方正仿宋_GB2312" w:cs="方正仿宋_GB2312" w:hint="eastAsia"/>
                <w:color w:val="000000"/>
                <w:sz w:val="20"/>
                <w:szCs w:val="20"/>
              </w:rPr>
              <w:t>表</w:t>
            </w:r>
          </w:p>
        </w:tc>
      </w:tr>
      <w:tr w:rsidR="00C37854">
        <w:trPr>
          <w:trHeight w:val="300"/>
          <w:jc w:val="center"/>
        </w:trPr>
        <w:tc>
          <w:tcPr>
            <w:tcW w:w="1862" w:type="pct"/>
            <w:gridSpan w:val="4"/>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Theme="minorEastAsia" w:hAnsiTheme="minorEastAsia" w:cstheme="minorEastAsia" w:hint="eastAsia"/>
                <w:color w:val="000000"/>
                <w:sz w:val="20"/>
                <w:szCs w:val="20"/>
              </w:rPr>
              <w:t xml:space="preserve">                                                                                                         </w:t>
            </w:r>
          </w:p>
        </w:tc>
        <w:tc>
          <w:tcPr>
            <w:tcW w:w="1403"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734"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 xml:space="preserve"> 金额单位：万元</w:t>
            </w:r>
          </w:p>
        </w:tc>
      </w:tr>
      <w:tr w:rsidR="00C37854">
        <w:trPr>
          <w:trHeight w:val="510"/>
          <w:jc w:val="center"/>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603"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本年支出合计</w:t>
            </w:r>
          </w:p>
        </w:tc>
        <w:tc>
          <w:tcPr>
            <w:tcW w:w="602" w:type="pct"/>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602"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602" w:type="pct"/>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上缴上级支出</w:t>
            </w:r>
          </w:p>
        </w:tc>
        <w:tc>
          <w:tcPr>
            <w:tcW w:w="602"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经营支出</w:t>
            </w:r>
          </w:p>
        </w:tc>
        <w:tc>
          <w:tcPr>
            <w:tcW w:w="795"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对附属单位补助支出</w:t>
            </w:r>
          </w:p>
        </w:tc>
      </w:tr>
      <w:tr w:rsidR="00C37854">
        <w:trPr>
          <w:trHeight w:val="312"/>
          <w:jc w:val="center"/>
        </w:trPr>
        <w:tc>
          <w:tcPr>
            <w:tcW w:w="556"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635"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35" w:type="pct"/>
            <w:vMerge/>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35" w:type="pct"/>
            <w:vMerge/>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454"/>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603"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602" w:type="pct"/>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602"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602" w:type="pct"/>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602"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795"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r>
      <w:tr w:rsidR="00C37854">
        <w:trPr>
          <w:trHeight w:val="308"/>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137.55</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档案事务</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2012604</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档案馆</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事业单位离退休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事业单位医疗</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住房保障</w:t>
            </w:r>
            <w:r>
              <w:rPr>
                <w:rFonts w:ascii="方正仿宋_GB2312" w:eastAsia="方正仿宋_GB2312" w:hAnsi="方正仿宋_GB2312" w:cs="方正仿宋_GB2312" w:hint="eastAsia"/>
                <w:color w:val="000000"/>
                <w:sz w:val="20"/>
                <w:szCs w:val="20"/>
              </w:rPr>
              <w:lastRenderedPageBreak/>
              <w:t>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000" w:type="pct"/>
            <w:gridSpan w:val="10"/>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注：本表反映部门本年度各项支出情况。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7281" w:type="pct"/>
        <w:tblInd w:w="-1857" w:type="dxa"/>
        <w:tblLayout w:type="fixed"/>
        <w:tblLook w:val="04A0" w:firstRow="1" w:lastRow="0" w:firstColumn="1" w:lastColumn="0" w:noHBand="0" w:noVBand="1"/>
      </w:tblPr>
      <w:tblGrid>
        <w:gridCol w:w="1982"/>
        <w:gridCol w:w="623"/>
        <w:gridCol w:w="1428"/>
        <w:gridCol w:w="1658"/>
        <w:gridCol w:w="438"/>
        <w:gridCol w:w="623"/>
        <w:gridCol w:w="459"/>
        <w:gridCol w:w="834"/>
        <w:gridCol w:w="1218"/>
        <w:gridCol w:w="1218"/>
        <w:gridCol w:w="1227"/>
      </w:tblGrid>
      <w:tr w:rsidR="00C37854">
        <w:trPr>
          <w:trHeight w:val="550"/>
        </w:trPr>
        <w:tc>
          <w:tcPr>
            <w:tcW w:w="5000" w:type="pct"/>
            <w:gridSpan w:val="11"/>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财政拨款收入支出决算总表</w:t>
            </w:r>
          </w:p>
        </w:tc>
      </w:tr>
      <w:tr w:rsidR="00C37854">
        <w:trPr>
          <w:trHeight w:val="300"/>
        </w:trPr>
        <w:tc>
          <w:tcPr>
            <w:tcW w:w="5000" w:type="pct"/>
            <w:gridSpan w:val="11"/>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公开04表</w:t>
            </w:r>
          </w:p>
        </w:tc>
      </w:tr>
      <w:tr w:rsidR="00C37854">
        <w:trPr>
          <w:trHeight w:val="300"/>
        </w:trPr>
        <w:tc>
          <w:tcPr>
            <w:tcW w:w="2431" w:type="pct"/>
            <w:gridSpan w:val="4"/>
            <w:tcBorders>
              <w:top w:val="nil"/>
              <w:left w:val="nil"/>
              <w:bottom w:val="single" w:sz="4" w:space="0" w:color="auto"/>
              <w:right w:val="nil"/>
            </w:tcBorders>
            <w:noWrap/>
            <w:vAlign w:val="bottom"/>
          </w:tcPr>
          <w:p w:rsidR="00C37854" w:rsidRDefault="00E00414">
            <w:pPr>
              <w:rPr>
                <w:rFonts w:ascii="仿宋" w:eastAsia="仿宋" w:hAnsi="仿宋" w:cs="仿宋"/>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Theme="minorEastAsia" w:hAnsiTheme="minorEastAsia" w:cstheme="minorEastAsia" w:hint="eastAsia"/>
                <w:color w:val="000000"/>
                <w:sz w:val="20"/>
                <w:szCs w:val="20"/>
              </w:rPr>
              <w:t xml:space="preserve">                                                                                                   </w:t>
            </w:r>
          </w:p>
        </w:tc>
        <w:tc>
          <w:tcPr>
            <w:tcW w:w="649" w:type="pct"/>
            <w:gridSpan w:val="3"/>
            <w:tcBorders>
              <w:top w:val="nil"/>
              <w:left w:val="nil"/>
              <w:bottom w:val="single" w:sz="4" w:space="0" w:color="auto"/>
              <w:right w:val="nil"/>
            </w:tcBorders>
            <w:noWrap/>
            <w:vAlign w:val="bottom"/>
          </w:tcPr>
          <w:p w:rsidR="00C37854" w:rsidRDefault="00E00414">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919" w:type="pct"/>
            <w:gridSpan w:val="4"/>
            <w:tcBorders>
              <w:top w:val="nil"/>
              <w:left w:val="nil"/>
              <w:bottom w:val="single" w:sz="4" w:space="0" w:color="auto"/>
              <w:right w:val="nil"/>
            </w:tcBorders>
            <w:noWrap/>
            <w:vAlign w:val="bottom"/>
          </w:tcPr>
          <w:p w:rsidR="00C37854" w:rsidRDefault="00E00414">
            <w:pPr>
              <w:jc w:val="right"/>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收入</w:t>
            </w:r>
          </w:p>
        </w:tc>
        <w:tc>
          <w:tcPr>
            <w:tcW w:w="3276" w:type="pct"/>
            <w:gridSpan w:val="8"/>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支出</w:t>
            </w:r>
          </w:p>
        </w:tc>
      </w:tr>
      <w:tr w:rsidR="00C37854">
        <w:trPr>
          <w:trHeight w:val="312"/>
        </w:trPr>
        <w:tc>
          <w:tcPr>
            <w:tcW w:w="847"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    目</w:t>
            </w:r>
          </w:p>
        </w:tc>
        <w:tc>
          <w:tcPr>
            <w:tcW w:w="26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609"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w:t>
            </w:r>
          </w:p>
        </w:tc>
        <w:tc>
          <w:tcPr>
            <w:tcW w:w="895" w:type="pct"/>
            <w:gridSpan w:val="2"/>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26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552" w:type="pct"/>
            <w:gridSpan w:val="2"/>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C37854">
        <w:trPr>
          <w:trHeight w:val="312"/>
        </w:trPr>
        <w:tc>
          <w:tcPr>
            <w:tcW w:w="847"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26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09"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895"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26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52" w:type="pct"/>
            <w:gridSpan w:val="2"/>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66"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9"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66"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552"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52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52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520" w:type="pct"/>
            <w:tcBorders>
              <w:top w:val="nil"/>
              <w:left w:val="nil"/>
              <w:bottom w:val="single" w:sz="4" w:space="0" w:color="000000"/>
              <w:right w:val="single" w:sz="8"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609"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auto"/>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609"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auto"/>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266"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552" w:type="pct"/>
            <w:gridSpan w:val="2"/>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w:t>
            </w:r>
            <w:r>
              <w:rPr>
                <w:rFonts w:ascii="方正仿宋_GB2312" w:eastAsia="方正仿宋_GB2312" w:hAnsi="方正仿宋_GB2312" w:cs="方正仿宋_GB2312" w:hint="eastAsia"/>
                <w:color w:val="000000"/>
                <w:sz w:val="20"/>
                <w:szCs w:val="20"/>
              </w:rPr>
              <w:lastRenderedPageBreak/>
              <w:t>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609"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552" w:type="pct"/>
            <w:gridSpan w:val="2"/>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宋体" w:eastAsia="宋体" w:hAnsi="宋体"/>
                <w:b/>
                <w:bCs/>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609"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年初财政拨款结转和结余</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年末财政拨款结转和结余</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63</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8"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6" w:type="pct"/>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609" w:type="pct"/>
            <w:tcBorders>
              <w:top w:val="nil"/>
              <w:left w:val="nil"/>
              <w:bottom w:val="single" w:sz="8"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6" w:type="pct"/>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w:t>
            </w:r>
          </w:p>
        </w:tc>
        <w:tc>
          <w:tcPr>
            <w:tcW w:w="552" w:type="pct"/>
            <w:gridSpan w:val="2"/>
            <w:tcBorders>
              <w:top w:val="nil"/>
              <w:left w:val="nil"/>
              <w:bottom w:val="single" w:sz="8"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8" w:space="0" w:color="000000"/>
              <w:right w:val="single" w:sz="4" w:space="0" w:color="000000"/>
            </w:tcBorders>
            <w:noWrap/>
            <w:vAlign w:val="center"/>
          </w:tcPr>
          <w:p w:rsidR="00C37854" w:rsidRDefault="00C37854">
            <w:pPr>
              <w:jc w:val="right"/>
              <w:rPr>
                <w:rFonts w:ascii="Times New Roman" w:hAnsi="Times New Roman" w:cs="Times New Roman"/>
                <w:sz w:val="20"/>
                <w:szCs w:val="20"/>
              </w:rPr>
            </w:pPr>
          </w:p>
          <w:p w:rsidR="00C37854" w:rsidRDefault="00E00414">
            <w:pPr>
              <w:jc w:val="right"/>
              <w:rPr>
                <w:rFonts w:ascii="Times New Roman" w:hAnsi="Times New Roman" w:cs="Times New Roman"/>
                <w:sz w:val="20"/>
                <w:szCs w:val="20"/>
              </w:rPr>
            </w:pPr>
            <w:r>
              <w:rPr>
                <w:rFonts w:ascii="Times New Roman" w:hAnsi="Times New Roman" w:cs="Times New Roman"/>
                <w:sz w:val="20"/>
                <w:szCs w:val="20"/>
              </w:rPr>
              <w:t>216.35</w:t>
            </w:r>
          </w:p>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11"/>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注：本表反映部门本年度一般公共预算财政拨款、政府性基金预算财政拨款和国有资本经营预算财政拨款的总收支和年末结转结余情况。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5348" w:type="pct"/>
        <w:tblInd w:w="-657" w:type="dxa"/>
        <w:tblLook w:val="04A0" w:firstRow="1" w:lastRow="0" w:firstColumn="1" w:lastColumn="0" w:noHBand="0" w:noVBand="1"/>
      </w:tblPr>
      <w:tblGrid>
        <w:gridCol w:w="2100"/>
        <w:gridCol w:w="2952"/>
        <w:gridCol w:w="1226"/>
        <w:gridCol w:w="477"/>
        <w:gridCol w:w="497"/>
        <w:gridCol w:w="355"/>
        <w:gridCol w:w="1090"/>
      </w:tblGrid>
      <w:tr w:rsidR="00C37854">
        <w:trPr>
          <w:trHeight w:val="657"/>
        </w:trPr>
        <w:tc>
          <w:tcPr>
            <w:tcW w:w="5000" w:type="pct"/>
            <w:gridSpan w:val="7"/>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一般公共预算财政拨款支出决算表</w:t>
            </w:r>
          </w:p>
        </w:tc>
      </w:tr>
      <w:tr w:rsidR="00C37854">
        <w:trPr>
          <w:trHeight w:val="329"/>
        </w:trPr>
        <w:tc>
          <w:tcPr>
            <w:tcW w:w="5000" w:type="pct"/>
            <w:gridSpan w:val="7"/>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方正仿宋_GB2312" w:hAnsi="Times New Roman" w:cs="Times New Roman"/>
                <w:color w:val="000000"/>
                <w:sz w:val="20"/>
                <w:szCs w:val="20"/>
              </w:rPr>
              <w:t>05</w:t>
            </w:r>
            <w:r>
              <w:rPr>
                <w:rFonts w:ascii="方正仿宋_GB2312" w:eastAsia="方正仿宋_GB2312" w:hAnsi="方正仿宋_GB2312" w:cs="方正仿宋_GB2312" w:hint="eastAsia"/>
                <w:color w:val="000000"/>
                <w:sz w:val="20"/>
                <w:szCs w:val="20"/>
              </w:rPr>
              <w:t>表</w:t>
            </w:r>
          </w:p>
        </w:tc>
      </w:tr>
      <w:tr w:rsidR="00C37854">
        <w:trPr>
          <w:trHeight w:val="329"/>
        </w:trPr>
        <w:tc>
          <w:tcPr>
            <w:tcW w:w="1868" w:type="pct"/>
            <w:gridSpan w:val="3"/>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编制部门（单位）：井陉县档案馆（中共井陉县委党史县志研究中心）</w:t>
            </w:r>
          </w:p>
        </w:tc>
        <w:tc>
          <w:tcPr>
            <w:tcW w:w="1541" w:type="pct"/>
            <w:gridSpan w:val="2"/>
            <w:tcBorders>
              <w:top w:val="nil"/>
              <w:left w:val="nil"/>
              <w:bottom w:val="single" w:sz="4" w:space="0" w:color="auto"/>
              <w:right w:val="nil"/>
            </w:tcBorders>
            <w:noWrap/>
            <w:vAlign w:val="bottom"/>
          </w:tcPr>
          <w:p w:rsidR="00C37854" w:rsidRDefault="00E00414">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590" w:type="pct"/>
            <w:gridSpan w:val="2"/>
            <w:tcBorders>
              <w:top w:val="nil"/>
              <w:left w:val="nil"/>
              <w:bottom w:val="single" w:sz="4" w:space="0" w:color="auto"/>
              <w:right w:val="nil"/>
            </w:tcBorders>
            <w:noWrap/>
            <w:vAlign w:val="bottom"/>
          </w:tcPr>
          <w:p w:rsidR="00C37854" w:rsidRDefault="00E00414">
            <w:pPr>
              <w:widowControl/>
              <w:jc w:val="right"/>
              <w:textAlignment w:val="bottom"/>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510"/>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3538" w:type="pct"/>
            <w:gridSpan w:val="5"/>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C37854">
        <w:trPr>
          <w:trHeight w:val="369"/>
        </w:trPr>
        <w:tc>
          <w:tcPr>
            <w:tcW w:w="704"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756"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1218"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C37854">
        <w:trPr>
          <w:trHeight w:val="346"/>
        </w:trPr>
        <w:tc>
          <w:tcPr>
            <w:tcW w:w="704"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r>
      <w:tr w:rsidR="00C37854">
        <w:trPr>
          <w:trHeight w:val="369"/>
        </w:trPr>
        <w:tc>
          <w:tcPr>
            <w:tcW w:w="704"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r>
      <w:tr w:rsidR="00C37854">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r>
      <w:tr w:rsidR="00C37854">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137.55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2012604</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档案馆</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事业单位离退休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lastRenderedPageBreak/>
              <w:t>22102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5000" w:type="pct"/>
            <w:gridSpan w:val="7"/>
            <w:tcBorders>
              <w:top w:val="single" w:sz="4" w:space="0" w:color="auto"/>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注：本表反映部门本年度一般公共预算财政拨款支出情况。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7050" w:type="pct"/>
        <w:tblInd w:w="-1617" w:type="dxa"/>
        <w:tblLayout w:type="fixed"/>
        <w:tblLook w:val="04A0" w:firstRow="1" w:lastRow="0" w:firstColumn="1" w:lastColumn="0" w:noHBand="0" w:noVBand="1"/>
      </w:tblPr>
      <w:tblGrid>
        <w:gridCol w:w="963"/>
        <w:gridCol w:w="1813"/>
        <w:gridCol w:w="1018"/>
        <w:gridCol w:w="964"/>
        <w:gridCol w:w="440"/>
        <w:gridCol w:w="1372"/>
        <w:gridCol w:w="589"/>
        <w:gridCol w:w="374"/>
        <w:gridCol w:w="964"/>
        <w:gridCol w:w="1816"/>
        <w:gridCol w:w="1023"/>
      </w:tblGrid>
      <w:tr w:rsidR="00C37854">
        <w:trPr>
          <w:trHeight w:val="624"/>
        </w:trPr>
        <w:tc>
          <w:tcPr>
            <w:tcW w:w="5000" w:type="pct"/>
            <w:gridSpan w:val="11"/>
            <w:tcBorders>
              <w:top w:val="nil"/>
              <w:left w:val="nil"/>
              <w:bottom w:val="nil"/>
              <w:right w:val="nil"/>
            </w:tcBorders>
            <w:noWrap/>
            <w:vAlign w:val="bottom"/>
          </w:tcPr>
          <w:p w:rsidR="00C37854" w:rsidRDefault="00E00414">
            <w:pPr>
              <w:widowControl/>
              <w:jc w:val="center"/>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一般公共预算财政拨款基本支出决算明细表</w:t>
            </w:r>
          </w:p>
        </w:tc>
      </w:tr>
      <w:tr w:rsidR="00C37854">
        <w:trPr>
          <w:trHeight w:val="300"/>
        </w:trPr>
        <w:tc>
          <w:tcPr>
            <w:tcW w:w="5000" w:type="pct"/>
            <w:gridSpan w:val="11"/>
            <w:tcBorders>
              <w:top w:val="nil"/>
              <w:left w:val="nil"/>
              <w:bottom w:val="nil"/>
              <w:right w:val="nil"/>
            </w:tcBorders>
            <w:noWrap/>
            <w:vAlign w:val="bottom"/>
          </w:tcPr>
          <w:p w:rsidR="00C37854" w:rsidRDefault="00E00414">
            <w:pPr>
              <w:widowControl/>
              <w:jc w:val="right"/>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公开</w:t>
            </w:r>
            <w:r>
              <w:rPr>
                <w:rFonts w:ascii="Times New Roman" w:eastAsia="方正仿宋_GB2312" w:hAnsi="Times New Roman" w:cs="Times New Roman"/>
                <w:color w:val="000000"/>
                <w:sz w:val="18"/>
                <w:szCs w:val="18"/>
              </w:rPr>
              <w:t>06</w:t>
            </w:r>
            <w:r>
              <w:rPr>
                <w:rFonts w:ascii="方正仿宋_GB2312" w:eastAsia="方正仿宋_GB2312" w:hAnsi="方正仿宋_GB2312" w:cs="方正仿宋_GB2312" w:hint="eastAsia"/>
                <w:color w:val="000000"/>
                <w:sz w:val="18"/>
                <w:szCs w:val="18"/>
              </w:rPr>
              <w:t>表</w:t>
            </w:r>
          </w:p>
        </w:tc>
      </w:tr>
      <w:tr w:rsidR="00C37854">
        <w:trPr>
          <w:trHeight w:val="90"/>
        </w:trPr>
        <w:tc>
          <w:tcPr>
            <w:tcW w:w="2293" w:type="pct"/>
            <w:gridSpan w:val="5"/>
            <w:tcBorders>
              <w:top w:val="nil"/>
              <w:left w:val="nil"/>
              <w:bottom w:val="single" w:sz="4" w:space="0" w:color="auto"/>
              <w:right w:val="nil"/>
            </w:tcBorders>
            <w:noWrap/>
            <w:vAlign w:val="bottom"/>
          </w:tcPr>
          <w:p w:rsidR="00C37854" w:rsidRDefault="00E00414">
            <w:pP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 xml:space="preserve">部门（单位）：井陉县档案馆（中共井陉县委党史县志研究中心） </w:t>
            </w:r>
            <w:r>
              <w:rPr>
                <w:rFonts w:asciiTheme="minorEastAsia" w:hAnsiTheme="minorEastAsia" w:cstheme="minorEastAsia" w:hint="eastAsia"/>
                <w:color w:val="000000"/>
                <w:sz w:val="18"/>
                <w:szCs w:val="18"/>
              </w:rPr>
              <w:t xml:space="preserve">                                                                   </w:t>
            </w:r>
          </w:p>
        </w:tc>
        <w:tc>
          <w:tcPr>
            <w:tcW w:w="865" w:type="pct"/>
            <w:gridSpan w:val="2"/>
            <w:tcBorders>
              <w:top w:val="nil"/>
              <w:left w:val="nil"/>
              <w:bottom w:val="single" w:sz="4" w:space="0" w:color="auto"/>
              <w:right w:val="nil"/>
            </w:tcBorders>
            <w:noWrap/>
            <w:vAlign w:val="bottom"/>
          </w:tcPr>
          <w:p w:rsidR="00C37854" w:rsidRDefault="00E00414">
            <w:pPr>
              <w:jc w:val="center"/>
              <w:rPr>
                <w:rFonts w:asciiTheme="minorEastAsia" w:hAnsiTheme="minorEastAsia" w:cstheme="minorEastAsia"/>
                <w:color w:val="000000"/>
                <w:sz w:val="18"/>
                <w:szCs w:val="18"/>
              </w:rPr>
            </w:pPr>
            <w:r>
              <w:rPr>
                <w:rFonts w:asciiTheme="minorEastAsia" w:hAnsiTheme="minorEastAsia" w:cstheme="minorEastAsia" w:hint="eastAsia"/>
                <w:color w:val="000000"/>
                <w:sz w:val="18"/>
                <w:szCs w:val="18"/>
              </w:rPr>
              <w:t>2024</w:t>
            </w:r>
            <w:r>
              <w:rPr>
                <w:rFonts w:ascii="方正仿宋_GB2312" w:eastAsia="方正仿宋_GB2312" w:hAnsi="方正仿宋_GB2312" w:cs="方正仿宋_GB2312" w:hint="eastAsia"/>
                <w:color w:val="000000"/>
                <w:sz w:val="18"/>
                <w:szCs w:val="18"/>
              </w:rPr>
              <w:t>年度</w:t>
            </w:r>
          </w:p>
        </w:tc>
        <w:tc>
          <w:tcPr>
            <w:tcW w:w="1841" w:type="pct"/>
            <w:gridSpan w:val="4"/>
            <w:tcBorders>
              <w:top w:val="nil"/>
              <w:left w:val="nil"/>
              <w:bottom w:val="single" w:sz="4" w:space="0" w:color="auto"/>
              <w:right w:val="nil"/>
            </w:tcBorders>
            <w:noWrap/>
            <w:vAlign w:val="bottom"/>
          </w:tcPr>
          <w:p w:rsidR="00C37854" w:rsidRDefault="00E00414">
            <w:pPr>
              <w:jc w:val="right"/>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C37854">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公用经费</w:t>
            </w: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104.43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7.86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38.01</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0.83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10.98</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18.26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10.97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1.27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5.08</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2.32</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8.75</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25.26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21.13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4.00</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30306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4.86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0.13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0.34</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sz w:val="18"/>
                <w:szCs w:val="18"/>
              </w:rPr>
              <w:t>129.69</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rsidR="00C37854" w:rsidRDefault="00E00414">
            <w:pPr>
              <w:jc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sz w:val="18"/>
                <w:szCs w:val="18"/>
              </w:rPr>
              <w:t>7.86</w:t>
            </w:r>
          </w:p>
        </w:tc>
      </w:tr>
      <w:tr w:rsidR="00C37854">
        <w:trPr>
          <w:trHeight w:val="510"/>
        </w:trPr>
        <w:tc>
          <w:tcPr>
            <w:tcW w:w="5000" w:type="pct"/>
            <w:gridSpan w:val="11"/>
            <w:tcBorders>
              <w:top w:val="single" w:sz="4" w:space="0" w:color="auto"/>
              <w:left w:val="nil"/>
              <w:bottom w:val="nil"/>
              <w:right w:val="nil"/>
            </w:tcBorders>
            <w:noWrap/>
            <w:vAlign w:val="center"/>
          </w:tcPr>
          <w:p w:rsidR="00C37854" w:rsidRDefault="00E00414">
            <w:pPr>
              <w:widowControl/>
              <w:jc w:val="left"/>
              <w:textAlignment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注：本表反映部门本年度一般公共预算财政拨款基本支出明细情况。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6517" w:type="pct"/>
        <w:tblInd w:w="-1404" w:type="dxa"/>
        <w:tblLayout w:type="fixed"/>
        <w:tblLook w:val="04A0" w:firstRow="1" w:lastRow="0" w:firstColumn="1" w:lastColumn="0" w:noHBand="0" w:noVBand="1"/>
      </w:tblPr>
      <w:tblGrid>
        <w:gridCol w:w="1260"/>
        <w:gridCol w:w="1473"/>
        <w:gridCol w:w="1306"/>
        <w:gridCol w:w="1025"/>
        <w:gridCol w:w="1107"/>
        <w:gridCol w:w="419"/>
        <w:gridCol w:w="700"/>
        <w:gridCol w:w="1146"/>
        <w:gridCol w:w="2043"/>
      </w:tblGrid>
      <w:tr w:rsidR="00C37854">
        <w:trPr>
          <w:trHeight w:val="550"/>
        </w:trPr>
        <w:tc>
          <w:tcPr>
            <w:tcW w:w="5000" w:type="pct"/>
            <w:gridSpan w:val="9"/>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C37854">
        <w:trPr>
          <w:trHeight w:val="90"/>
        </w:trPr>
        <w:tc>
          <w:tcPr>
            <w:tcW w:w="5000" w:type="pct"/>
            <w:gridSpan w:val="9"/>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07</w:t>
            </w:r>
            <w:r>
              <w:rPr>
                <w:rFonts w:ascii="方正仿宋_GB2312" w:eastAsia="方正仿宋_GB2312" w:hAnsi="方正仿宋_GB2312" w:cs="方正仿宋_GB2312" w:hint="eastAsia"/>
                <w:color w:val="000000"/>
                <w:sz w:val="20"/>
                <w:szCs w:val="20"/>
              </w:rPr>
              <w:t>表</w:t>
            </w:r>
          </w:p>
        </w:tc>
      </w:tr>
      <w:tr w:rsidR="00C37854">
        <w:trPr>
          <w:trHeight w:val="300"/>
        </w:trPr>
        <w:tc>
          <w:tcPr>
            <w:tcW w:w="1927" w:type="pct"/>
            <w:gridSpan w:val="3"/>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宋体" w:eastAsia="宋体" w:hAnsi="宋体" w:hint="eastAsia"/>
                <w:color w:val="000000"/>
                <w:sz w:val="20"/>
                <w:szCs w:val="20"/>
              </w:rPr>
              <w:t xml:space="preserve">                                                                                     </w:t>
            </w:r>
          </w:p>
        </w:tc>
        <w:tc>
          <w:tcPr>
            <w:tcW w:w="1217"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w:t>
            </w:r>
            <w:r>
              <w:rPr>
                <w:rFonts w:ascii="Times New Roman" w:eastAsia="宋体"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854"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08"/>
        </w:trPr>
        <w:tc>
          <w:tcPr>
            <w:tcW w:w="1304" w:type="pct"/>
            <w:gridSpan w:val="2"/>
            <w:tcBorders>
              <w:top w:val="single" w:sz="4" w:space="0" w:color="auto"/>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623"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489"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w:t>
            </w:r>
          </w:p>
        </w:tc>
        <w:tc>
          <w:tcPr>
            <w:tcW w:w="1609" w:type="pct"/>
            <w:gridSpan w:val="4"/>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c>
          <w:tcPr>
            <w:tcW w:w="973" w:type="pct"/>
            <w:vMerge w:val="restart"/>
            <w:tcBorders>
              <w:top w:val="single" w:sz="4" w:space="0" w:color="auto"/>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r>
      <w:tr w:rsidR="00C37854">
        <w:trPr>
          <w:trHeight w:val="312"/>
        </w:trPr>
        <w:tc>
          <w:tcPr>
            <w:tcW w:w="601"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703"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534" w:type="pct"/>
            <w:gridSpan w:val="2"/>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54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973" w:type="pct"/>
            <w:vMerge/>
            <w:tcBorders>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结转</w:t>
            </w:r>
          </w:p>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w:t>
            </w:r>
          </w:p>
        </w:tc>
      </w:tr>
      <w:tr w:rsidR="00C37854">
        <w:trPr>
          <w:trHeight w:val="312"/>
        </w:trPr>
        <w:tc>
          <w:tcPr>
            <w:tcW w:w="601"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3"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4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73" w:type="pct"/>
            <w:vMerge/>
            <w:tcBorders>
              <w:left w:val="nil"/>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12"/>
        </w:trPr>
        <w:tc>
          <w:tcPr>
            <w:tcW w:w="601" w:type="pct"/>
            <w:vMerge/>
            <w:tcBorders>
              <w:top w:val="nil"/>
              <w:left w:val="single" w:sz="4" w:space="0" w:color="000000"/>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3" w:type="pct"/>
            <w:vMerge/>
            <w:tcBorders>
              <w:top w:val="nil"/>
              <w:left w:val="nil"/>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4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73" w:type="pct"/>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08"/>
        </w:trPr>
        <w:tc>
          <w:tcPr>
            <w:tcW w:w="1304"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623" w:type="pct"/>
            <w:tcBorders>
              <w:top w:val="nil"/>
              <w:left w:val="single" w:sz="4" w:space="0" w:color="auto"/>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1</w:t>
            </w:r>
          </w:p>
        </w:tc>
        <w:tc>
          <w:tcPr>
            <w:tcW w:w="489"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2</w:t>
            </w:r>
          </w:p>
        </w:tc>
        <w:tc>
          <w:tcPr>
            <w:tcW w:w="52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3</w:t>
            </w:r>
          </w:p>
        </w:tc>
        <w:tc>
          <w:tcPr>
            <w:tcW w:w="534"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4</w:t>
            </w:r>
          </w:p>
        </w:tc>
        <w:tc>
          <w:tcPr>
            <w:tcW w:w="54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5</w:t>
            </w:r>
          </w:p>
        </w:tc>
        <w:tc>
          <w:tcPr>
            <w:tcW w:w="973"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C37854">
        <w:trPr>
          <w:trHeight w:val="869"/>
        </w:trPr>
        <w:tc>
          <w:tcPr>
            <w:tcW w:w="1304"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623" w:type="pct"/>
            <w:tcBorders>
              <w:top w:val="nil"/>
              <w:left w:val="single" w:sz="4" w:space="0" w:color="auto"/>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48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34"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73"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9"/>
            <w:tcBorders>
              <w:top w:val="nil"/>
              <w:left w:val="nil"/>
              <w:bottom w:val="nil"/>
              <w:right w:val="nil"/>
            </w:tcBorders>
            <w:noWrap/>
            <w:vAlign w:val="center"/>
          </w:tcPr>
          <w:p w:rsidR="00C37854" w:rsidRDefault="00E00414">
            <w:pP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注：本表反映部门本年度政府性基金预算财政拨款收入、支出及结转和结余情况。</w:t>
            </w:r>
          </w:p>
          <w:p w:rsidR="00C37854" w:rsidRDefault="00E00414">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本部门本年度无政府性基金预算财政拨款收支及结转、结余，故空表列示。</w:t>
            </w:r>
            <w:r>
              <w:rPr>
                <w:rFonts w:ascii="方正仿宋_GB2312" w:eastAsia="方正仿宋_GB2312" w:hAnsi="方正仿宋_GB2312" w:cs="方正仿宋_GB2312" w:hint="eastAsia"/>
                <w:color w:val="000000"/>
                <w:sz w:val="20"/>
                <w:szCs w:val="20"/>
              </w:rPr>
              <w:br w:type="page"/>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5863" w:type="pct"/>
        <w:tblInd w:w="-976" w:type="dxa"/>
        <w:tblLayout w:type="fixed"/>
        <w:tblLook w:val="04A0" w:firstRow="1" w:lastRow="0" w:firstColumn="1" w:lastColumn="0" w:noHBand="0" w:noVBand="1"/>
      </w:tblPr>
      <w:tblGrid>
        <w:gridCol w:w="2992"/>
        <w:gridCol w:w="730"/>
        <w:gridCol w:w="1297"/>
        <w:gridCol w:w="1337"/>
        <w:gridCol w:w="45"/>
        <w:gridCol w:w="1286"/>
        <w:gridCol w:w="6"/>
        <w:gridCol w:w="1735"/>
      </w:tblGrid>
      <w:tr w:rsidR="00C37854">
        <w:trPr>
          <w:trHeight w:val="550"/>
        </w:trPr>
        <w:tc>
          <w:tcPr>
            <w:tcW w:w="5000" w:type="pct"/>
            <w:gridSpan w:val="8"/>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国有资本经营预算财政拨款支出决算表</w:t>
            </w:r>
          </w:p>
        </w:tc>
      </w:tr>
      <w:tr w:rsidR="00C37854">
        <w:trPr>
          <w:trHeight w:val="300"/>
        </w:trPr>
        <w:tc>
          <w:tcPr>
            <w:tcW w:w="5000" w:type="pct"/>
            <w:gridSpan w:val="8"/>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方正仿宋_GB2312" w:hAnsi="Times New Roman" w:cs="Times New Roman"/>
                <w:color w:val="000000"/>
                <w:sz w:val="20"/>
                <w:szCs w:val="20"/>
              </w:rPr>
              <w:t>08</w:t>
            </w:r>
            <w:r>
              <w:rPr>
                <w:rFonts w:ascii="方正仿宋_GB2312" w:eastAsia="方正仿宋_GB2312" w:hAnsi="方正仿宋_GB2312" w:cs="方正仿宋_GB2312" w:hint="eastAsia"/>
                <w:color w:val="000000"/>
                <w:sz w:val="20"/>
                <w:szCs w:val="20"/>
              </w:rPr>
              <w:t>表</w:t>
            </w:r>
          </w:p>
        </w:tc>
      </w:tr>
      <w:tr w:rsidR="00C37854">
        <w:trPr>
          <w:trHeight w:val="300"/>
        </w:trPr>
        <w:tc>
          <w:tcPr>
            <w:tcW w:w="1974" w:type="pct"/>
            <w:gridSpan w:val="2"/>
            <w:tcBorders>
              <w:top w:val="nil"/>
              <w:left w:val="nil"/>
              <w:bottom w:val="single" w:sz="4" w:space="0" w:color="auto"/>
              <w:right w:val="nil"/>
            </w:tcBorders>
            <w:noWrap/>
            <w:vAlign w:val="bottom"/>
          </w:tcPr>
          <w:p w:rsidR="00C37854" w:rsidRDefault="00E00414">
            <w:pPr>
              <w:widowControl/>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部门（单位）：井陉县档案馆（中共井陉县委党史县志研究中心）</w:t>
            </w:r>
          </w:p>
        </w:tc>
        <w:tc>
          <w:tcPr>
            <w:tcW w:w="1421"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w:t>
            </w:r>
            <w:r>
              <w:rPr>
                <w:rFonts w:ascii="Times New Roman" w:eastAsia="宋体"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603"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 项目</w:t>
            </w:r>
          </w:p>
        </w:tc>
        <w:tc>
          <w:tcPr>
            <w:tcW w:w="2337" w:type="pct"/>
            <w:gridSpan w:val="5"/>
            <w:vMerge w:val="restart"/>
            <w:tcBorders>
              <w:top w:val="single" w:sz="4" w:space="0" w:color="auto"/>
              <w:left w:val="single" w:sz="4" w:space="0" w:color="auto"/>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C37854">
        <w:trPr>
          <w:trHeight w:val="312"/>
        </w:trPr>
        <w:tc>
          <w:tcPr>
            <w:tcW w:w="2662" w:type="pct"/>
            <w:gridSpan w:val="3"/>
            <w:vMerge/>
            <w:tcBorders>
              <w:top w:val="single" w:sz="4" w:space="0" w:color="auto"/>
              <w:left w:val="single" w:sz="4" w:space="0" w:color="auto"/>
              <w:bottom w:val="single" w:sz="4" w:space="0" w:color="auto"/>
              <w:right w:val="single" w:sz="4" w:space="0" w:color="auto"/>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2337" w:type="pct"/>
            <w:gridSpan w:val="5"/>
            <w:vMerge/>
            <w:tcBorders>
              <w:left w:val="single" w:sz="4" w:space="0" w:color="auto"/>
              <w:bottom w:val="single" w:sz="4" w:space="0" w:color="000000"/>
              <w:right w:val="single" w:sz="4"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r>
      <w:tr w:rsidR="00C37854">
        <w:trPr>
          <w:trHeight w:val="312"/>
        </w:trPr>
        <w:tc>
          <w:tcPr>
            <w:tcW w:w="1587"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709" w:type="pct"/>
            <w:vMerge w:val="restart"/>
            <w:tcBorders>
              <w:top w:val="nil"/>
              <w:left w:val="single" w:sz="4" w:space="0" w:color="auto"/>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709" w:type="pct"/>
            <w:gridSpan w:val="3"/>
            <w:vMerge w:val="restart"/>
            <w:tcBorders>
              <w:top w:val="nil"/>
              <w:left w:val="nil"/>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919" w:type="pct"/>
            <w:vMerge w:val="restart"/>
            <w:tcBorders>
              <w:top w:val="nil"/>
              <w:left w:val="nil"/>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C37854">
        <w:trPr>
          <w:trHeight w:val="312"/>
        </w:trPr>
        <w:tc>
          <w:tcPr>
            <w:tcW w:w="1587" w:type="pct"/>
            <w:vMerge/>
            <w:tcBorders>
              <w:top w:val="single" w:sz="4" w:space="0" w:color="auto"/>
              <w:left w:val="single" w:sz="4" w:space="0" w:color="auto"/>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74" w:type="pct"/>
            <w:gridSpan w:val="2"/>
            <w:vMerge/>
            <w:tcBorders>
              <w:top w:val="single" w:sz="4" w:space="0" w:color="auto"/>
              <w:left w:val="nil"/>
              <w:bottom w:val="single" w:sz="4" w:space="0" w:color="auto"/>
              <w:right w:val="single" w:sz="4" w:space="0" w:color="auto"/>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9" w:type="pct"/>
            <w:vMerge/>
            <w:tcBorders>
              <w:left w:val="single" w:sz="4" w:space="0" w:color="auto"/>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9" w:type="pct"/>
            <w:gridSpan w:val="3"/>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19" w:type="pct"/>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706" w:type="pct"/>
            <w:tcBorders>
              <w:top w:val="nil"/>
              <w:left w:val="single" w:sz="4" w:space="0" w:color="auto"/>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70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924"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C37854">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rsidR="00C37854" w:rsidRDefault="00E00414">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06"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8"/>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注：本表反映部门本年度国有资本经营预算财政拨款支出情况。</w:t>
            </w:r>
          </w:p>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本部门本年度无国有资本经营预算财政拨款支出，故空表列示。</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pPr w:leftFromText="180" w:rightFromText="180" w:vertAnchor="text" w:horzAnchor="page" w:tblpX="282" w:tblpY="39"/>
        <w:tblOverlap w:val="never"/>
        <w:tblW w:w="7211" w:type="pct"/>
        <w:tblLayout w:type="fixed"/>
        <w:tblLook w:val="04A0" w:firstRow="1" w:lastRow="0" w:firstColumn="1" w:lastColumn="0" w:noHBand="0" w:noVBand="1"/>
      </w:tblPr>
      <w:tblGrid>
        <w:gridCol w:w="985"/>
        <w:gridCol w:w="1224"/>
        <w:gridCol w:w="812"/>
        <w:gridCol w:w="944"/>
        <w:gridCol w:w="524"/>
        <w:gridCol w:w="543"/>
        <w:gridCol w:w="779"/>
        <w:gridCol w:w="849"/>
        <w:gridCol w:w="1132"/>
        <w:gridCol w:w="638"/>
        <w:gridCol w:w="1025"/>
        <w:gridCol w:w="948"/>
        <w:gridCol w:w="1192"/>
      </w:tblGrid>
      <w:tr w:rsidR="00C37854">
        <w:trPr>
          <w:trHeight w:val="550"/>
        </w:trPr>
        <w:tc>
          <w:tcPr>
            <w:tcW w:w="5000" w:type="pct"/>
            <w:gridSpan w:val="13"/>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C37854">
        <w:trPr>
          <w:trHeight w:val="260"/>
        </w:trPr>
        <w:tc>
          <w:tcPr>
            <w:tcW w:w="5000" w:type="pct"/>
            <w:gridSpan w:val="13"/>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公开</w:t>
            </w:r>
            <w:r>
              <w:rPr>
                <w:rFonts w:ascii="Times New Roman" w:eastAsia="方正仿宋_GB2312" w:hAnsi="Times New Roman" w:cs="Times New Roman"/>
                <w:color w:val="000000"/>
                <w:sz w:val="18"/>
                <w:szCs w:val="18"/>
              </w:rPr>
              <w:t>09</w:t>
            </w:r>
            <w:r>
              <w:rPr>
                <w:rFonts w:ascii="方正仿宋_GB2312" w:eastAsia="方正仿宋_GB2312" w:hAnsi="方正仿宋_GB2312" w:cs="方正仿宋_GB2312" w:hint="eastAsia"/>
                <w:color w:val="000000"/>
                <w:sz w:val="18"/>
                <w:szCs w:val="18"/>
              </w:rPr>
              <w:t>表</w:t>
            </w:r>
          </w:p>
        </w:tc>
      </w:tr>
      <w:tr w:rsidR="00C37854">
        <w:trPr>
          <w:trHeight w:val="260"/>
        </w:trPr>
        <w:tc>
          <w:tcPr>
            <w:tcW w:w="1936" w:type="pct"/>
            <w:gridSpan w:val="5"/>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部门（单位）：井陉县档案馆（中共井陉县委党史县志研究中心）</w:t>
            </w:r>
          </w:p>
        </w:tc>
        <w:tc>
          <w:tcPr>
            <w:tcW w:w="933"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18"/>
                <w:szCs w:val="18"/>
              </w:rPr>
            </w:pPr>
            <w:r>
              <w:rPr>
                <w:rFonts w:ascii="Times New Roman" w:eastAsia="宋体" w:hAnsi="Times New Roman" w:cs="Times New Roman"/>
                <w:color w:val="000000"/>
                <w:sz w:val="18"/>
                <w:szCs w:val="18"/>
              </w:rPr>
              <w:t>202</w:t>
            </w:r>
            <w:r>
              <w:rPr>
                <w:rFonts w:ascii="Times New Roman" w:eastAsia="宋体" w:hAnsi="Times New Roman" w:cs="Times New Roman" w:hint="eastAsia"/>
                <w:color w:val="000000"/>
                <w:sz w:val="18"/>
                <w:szCs w:val="18"/>
              </w:rPr>
              <w:t>4</w:t>
            </w:r>
            <w:r>
              <w:rPr>
                <w:rFonts w:ascii="方正仿宋_GB2312" w:eastAsia="方正仿宋_GB2312" w:hAnsi="方正仿宋_GB2312" w:cs="方正仿宋_GB2312" w:hint="eastAsia"/>
                <w:color w:val="000000"/>
                <w:sz w:val="18"/>
                <w:szCs w:val="18"/>
              </w:rPr>
              <w:t>年度</w:t>
            </w:r>
          </w:p>
        </w:tc>
        <w:tc>
          <w:tcPr>
            <w:tcW w:w="2129" w:type="pct"/>
            <w:gridSpan w:val="5"/>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C37854">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预算数</w:t>
            </w:r>
          </w:p>
        </w:tc>
        <w:tc>
          <w:tcPr>
            <w:tcW w:w="2493" w:type="pct"/>
            <w:gridSpan w:val="6"/>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决算数</w:t>
            </w:r>
          </w:p>
        </w:tc>
      </w:tr>
      <w:tr w:rsidR="00C37854">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528"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217" w:type="pct"/>
            <w:gridSpan w:val="4"/>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366"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488"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126" w:type="pct"/>
            <w:gridSpan w:val="3"/>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r>
      <w:tr w:rsidR="00C37854">
        <w:trPr>
          <w:trHeight w:val="431"/>
        </w:trPr>
        <w:tc>
          <w:tcPr>
            <w:tcW w:w="425" w:type="pct"/>
            <w:vMerge/>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528"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35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458"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335"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366"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488"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27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442"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511"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r>
      <w:tr w:rsidR="00C37854">
        <w:trPr>
          <w:trHeight w:val="431"/>
        </w:trPr>
        <w:tc>
          <w:tcPr>
            <w:tcW w:w="425"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w:t>
            </w:r>
          </w:p>
        </w:tc>
        <w:tc>
          <w:tcPr>
            <w:tcW w:w="52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2</w:t>
            </w:r>
          </w:p>
        </w:tc>
        <w:tc>
          <w:tcPr>
            <w:tcW w:w="35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3</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4</w:t>
            </w:r>
          </w:p>
        </w:tc>
        <w:tc>
          <w:tcPr>
            <w:tcW w:w="458"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5</w:t>
            </w:r>
          </w:p>
        </w:tc>
        <w:tc>
          <w:tcPr>
            <w:tcW w:w="33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6</w:t>
            </w:r>
          </w:p>
        </w:tc>
        <w:tc>
          <w:tcPr>
            <w:tcW w:w="3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7</w:t>
            </w:r>
          </w:p>
        </w:tc>
        <w:tc>
          <w:tcPr>
            <w:tcW w:w="48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8</w:t>
            </w:r>
          </w:p>
        </w:tc>
        <w:tc>
          <w:tcPr>
            <w:tcW w:w="27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9</w:t>
            </w:r>
          </w:p>
        </w:tc>
        <w:tc>
          <w:tcPr>
            <w:tcW w:w="442"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11</w:t>
            </w:r>
          </w:p>
        </w:tc>
        <w:tc>
          <w:tcPr>
            <w:tcW w:w="511"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12</w:t>
            </w:r>
          </w:p>
        </w:tc>
      </w:tr>
      <w:tr w:rsidR="00C37854">
        <w:trPr>
          <w:trHeight w:val="431"/>
        </w:trPr>
        <w:tc>
          <w:tcPr>
            <w:tcW w:w="425" w:type="pct"/>
            <w:tcBorders>
              <w:top w:val="nil"/>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52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5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58"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3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6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8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27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4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511"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r>
      <w:tr w:rsidR="00C37854">
        <w:trPr>
          <w:trHeight w:val="431"/>
        </w:trPr>
        <w:tc>
          <w:tcPr>
            <w:tcW w:w="5000" w:type="pct"/>
            <w:gridSpan w:val="13"/>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本部门本年度无三公经费相关支出，故空表列示。</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p w:rsidR="00C37854" w:rsidRDefault="00C37854">
      <w:pPr>
        <w:rPr>
          <w:rFonts w:ascii="仿宋_GB2312" w:eastAsia="仿宋_GB2312" w:hAnsi="宋体"/>
          <w:b/>
          <w:sz w:val="32"/>
          <w:szCs w:val="32"/>
        </w:rPr>
        <w:sectPr w:rsidR="00C37854">
          <w:headerReference w:type="default" r:id="rId16"/>
          <w:footerReference w:type="default" r:id="rId17"/>
          <w:pgSz w:w="11906" w:h="16838"/>
          <w:pgMar w:top="1531" w:right="1984" w:bottom="1531" w:left="2098" w:header="851" w:footer="992" w:gutter="0"/>
          <w:cols w:space="720"/>
          <w:docGrid w:type="lines" w:linePitch="312"/>
        </w:sect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第三部分</w:t>
      </w:r>
      <w:r>
        <w:rPr>
          <w:rFonts w:ascii="Times New Roman" w:eastAsia="仿宋_GB2312"/>
          <w:sz w:val="44"/>
          <w:szCs w:val="44"/>
        </w:rPr>
        <w:t>2024</w:t>
      </w:r>
      <w:r>
        <w:rPr>
          <w:rFonts w:ascii="Times New Roman" w:eastAsia="黑体"/>
          <w:sz w:val="44"/>
          <w:szCs w:val="44"/>
        </w:rPr>
        <w:t>年度部门决算情况说明</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年度收、支总计（含结转和结余）均为</w:t>
      </w:r>
      <w:r>
        <w:rPr>
          <w:rFonts w:ascii="Times New Roman" w:eastAsia="仿宋_GB2312"/>
          <w:sz w:val="32"/>
          <w:szCs w:val="32"/>
        </w:rPr>
        <w:t>216.35</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年度决算相比，收支各减少</w:t>
      </w:r>
      <w:r>
        <w:rPr>
          <w:rFonts w:ascii="Times New Roman" w:eastAsia="仿宋_GB2312"/>
          <w:sz w:val="32"/>
          <w:szCs w:val="32"/>
        </w:rPr>
        <w:t>27.98</w:t>
      </w:r>
      <w:r>
        <w:rPr>
          <w:rFonts w:ascii="Times New Roman" w:eastAsia="仿宋_GB2312"/>
          <w:sz w:val="32"/>
          <w:szCs w:val="32"/>
        </w:rPr>
        <w:t>万元，下降</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档案馆建设项目经费减少</w:t>
      </w:r>
      <w:r>
        <w:rPr>
          <w:rFonts w:ascii="Times New Roman" w:eastAsia="仿宋_GB2312"/>
          <w:sz w:val="32"/>
          <w:szCs w:val="32"/>
        </w:rPr>
        <w:t>。</w:t>
      </w:r>
    </w:p>
    <w:p w:rsidR="00C37854" w:rsidRDefault="00E00414">
      <w:pPr>
        <w:pStyle w:val="aa"/>
        <w:widowControl/>
        <w:spacing w:beforeAutospacing="0" w:afterAutospacing="0"/>
        <w:jc w:val="center"/>
        <w:rPr>
          <w:rFonts w:ascii="Times New Roman" w:eastAsia="Arial" w:hAnsi="Times New Roman"/>
        </w:rPr>
      </w:pPr>
      <w:r>
        <w:rPr>
          <w:rFonts w:ascii="Times New Roman" w:eastAsia="宋体" w:hAnsi="Times New Roman" w:hint="eastAsia"/>
          <w:noProof/>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eastAsia="Arial" w:hAnsi="Times New Roman"/>
          <w:color w:val="000000"/>
          <w:sz w:val="18"/>
          <w:szCs w:val="18"/>
          <w:shd w:val="clear" w:color="auto" w:fill="FFFFFF"/>
        </w:rPr>
        <w:t> </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年度本年收入合计</w:t>
      </w:r>
      <w:r>
        <w:rPr>
          <w:rFonts w:ascii="Times New Roman" w:eastAsia="仿宋_GB2312"/>
          <w:sz w:val="32"/>
          <w:szCs w:val="32"/>
        </w:rPr>
        <w:t>216.35</w:t>
      </w:r>
      <w:r>
        <w:rPr>
          <w:rFonts w:ascii="Times New Roman" w:eastAsia="仿宋_GB2312"/>
          <w:sz w:val="32"/>
          <w:szCs w:val="32"/>
        </w:rPr>
        <w:t>万元，其中：财政拨款收入</w:t>
      </w:r>
      <w:r>
        <w:rPr>
          <w:rFonts w:ascii="Times New Roman" w:eastAsia="仿宋_GB2312"/>
          <w:sz w:val="32"/>
          <w:szCs w:val="32"/>
        </w:rPr>
        <w:t>216.35</w:t>
      </w:r>
      <w:r>
        <w:rPr>
          <w:rFonts w:ascii="Times New Roman" w:eastAsia="仿宋_GB2312"/>
          <w:sz w:val="32"/>
          <w:szCs w:val="32"/>
        </w:rPr>
        <w:t>万元，占</w:t>
      </w:r>
      <w:r>
        <w:rPr>
          <w:rFonts w:ascii="Times New Roman" w:eastAsia="仿宋_GB2312"/>
          <w:sz w:val="32"/>
          <w:szCs w:val="32"/>
        </w:rPr>
        <w:t>100%</w:t>
      </w:r>
      <w:r>
        <w:rPr>
          <w:rFonts w:ascii="Times New Roman" w:eastAsia="仿宋_GB2312"/>
          <w:sz w:val="32"/>
          <w:szCs w:val="32"/>
        </w:rPr>
        <w:t>；上级补助收入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；事业收入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；经营收入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；附属单位上缴收入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；其他收入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adjustRightInd w:val="0"/>
        <w:snapToGrid w:val="0"/>
        <w:spacing w:line="580" w:lineRule="exact"/>
        <w:rPr>
          <w:rFonts w:ascii="Times New Roman" w:eastAsia="仿宋_GB2312" w:hAnsi="Times New Roman" w:cs="Times New Roman"/>
          <w:kern w:val="2"/>
          <w:sz w:val="32"/>
          <w:szCs w:val="32"/>
          <w:highlight w:val="yellow"/>
          <w:lang w:val="zh-CN"/>
        </w:rPr>
      </w:pPr>
      <w:r>
        <w:rPr>
          <w:rFonts w:ascii="Times New Roman" w:eastAsia="仿宋_GB2312" w:hAnsi="Times New Roman"/>
          <w:noProof/>
          <w:kern w:val="2"/>
          <w:sz w:val="32"/>
          <w:szCs w:val="32"/>
          <w:highlight w:val="yellow"/>
        </w:rPr>
        <w:lastRenderedPageBreak/>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年度本年支出合计</w:t>
      </w:r>
      <w:r>
        <w:rPr>
          <w:rFonts w:ascii="Times New Roman" w:eastAsia="仿宋_GB2312"/>
          <w:sz w:val="32"/>
          <w:szCs w:val="32"/>
        </w:rPr>
        <w:t>216.35</w:t>
      </w:r>
      <w:r>
        <w:rPr>
          <w:rFonts w:ascii="Times New Roman" w:eastAsia="仿宋_GB2312"/>
          <w:sz w:val="32"/>
          <w:szCs w:val="32"/>
        </w:rPr>
        <w:t>万元，其中：基本支出</w:t>
      </w:r>
      <w:r>
        <w:rPr>
          <w:rFonts w:ascii="Times New Roman" w:eastAsia="仿宋_GB2312"/>
          <w:sz w:val="32"/>
          <w:szCs w:val="32"/>
        </w:rPr>
        <w:t>137.55</w:t>
      </w:r>
      <w:r>
        <w:rPr>
          <w:rFonts w:ascii="Times New Roman" w:eastAsia="仿宋_GB2312"/>
          <w:sz w:val="32"/>
          <w:szCs w:val="32"/>
        </w:rPr>
        <w:t>万元，占</w:t>
      </w:r>
      <w:r>
        <w:rPr>
          <w:rFonts w:ascii="Times New Roman" w:eastAsia="仿宋_GB2312"/>
          <w:sz w:val="32"/>
          <w:szCs w:val="32"/>
        </w:rPr>
        <w:t>63.6%</w:t>
      </w:r>
      <w:r>
        <w:rPr>
          <w:rFonts w:ascii="Times New Roman" w:eastAsia="仿宋_GB2312"/>
          <w:sz w:val="32"/>
          <w:szCs w:val="32"/>
        </w:rPr>
        <w:t>；项目支出</w:t>
      </w:r>
      <w:r>
        <w:rPr>
          <w:rFonts w:ascii="Times New Roman" w:eastAsia="仿宋_GB2312"/>
          <w:sz w:val="32"/>
          <w:szCs w:val="32"/>
        </w:rPr>
        <w:t>78.79</w:t>
      </w:r>
      <w:r>
        <w:rPr>
          <w:rFonts w:ascii="Times New Roman" w:eastAsia="仿宋_GB2312"/>
          <w:sz w:val="32"/>
          <w:szCs w:val="32"/>
        </w:rPr>
        <w:t>万元，占</w:t>
      </w:r>
      <w:r>
        <w:rPr>
          <w:rFonts w:ascii="Times New Roman" w:eastAsia="仿宋_GB2312"/>
          <w:sz w:val="32"/>
          <w:szCs w:val="32"/>
        </w:rPr>
        <w:t>36.4%</w:t>
      </w:r>
      <w:r>
        <w:rPr>
          <w:rFonts w:ascii="Times New Roman" w:eastAsia="仿宋_GB2312"/>
          <w:sz w:val="32"/>
          <w:szCs w:val="32"/>
        </w:rPr>
        <w:t>；上缴上级支出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；经营支出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；对附属单位补助支出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autoSpaceDE w:val="0"/>
        <w:autoSpaceDN w:val="0"/>
        <w:adjustRightInd w:val="0"/>
        <w:jc w:val="center"/>
        <w:rPr>
          <w:rFonts w:ascii="Times New Roman" w:eastAsia="仿宋_GB2312" w:hAnsi="Times New Roman" w:cs="Times New Roman"/>
          <w:sz w:val="32"/>
          <w:szCs w:val="32"/>
        </w:rPr>
      </w:pPr>
      <w:r>
        <w:rPr>
          <w:rFonts w:ascii="Times New Roman" w:eastAsia="仿宋_GB2312" w:hAnsi="Times New Roman" w:cs="Times New Roman"/>
          <w:noProof/>
          <w:sz w:val="32"/>
          <w:szCs w:val="32"/>
        </w:rPr>
        <w:lastRenderedPageBreak/>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四、财政拨款收入支出决算总体情况说明</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年度财政拨款收、支总计（含结转和结余）均为</w:t>
      </w:r>
      <w:r>
        <w:rPr>
          <w:rFonts w:ascii="Times New Roman" w:eastAsia="仿宋_GB2312"/>
          <w:sz w:val="32"/>
          <w:szCs w:val="32"/>
        </w:rPr>
        <w:t>216.35</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年度相比，财政拨款收支各减少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主要是建设项目减少</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216.35</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档案馆建设项目减少</w:t>
      </w:r>
      <w:r>
        <w:rPr>
          <w:rFonts w:ascii="Times New Roman" w:eastAsia="仿宋_GB2312"/>
          <w:sz w:val="32"/>
          <w:szCs w:val="32"/>
        </w:rPr>
        <w:t>；本年支出</w:t>
      </w:r>
      <w:r>
        <w:rPr>
          <w:rFonts w:ascii="Times New Roman" w:eastAsia="仿宋_GB2312"/>
          <w:sz w:val="32"/>
          <w:szCs w:val="32"/>
        </w:rPr>
        <w:t>216.35</w:t>
      </w:r>
      <w:r>
        <w:rPr>
          <w:rFonts w:ascii="Times New Roman" w:eastAsia="仿宋_GB2312"/>
          <w:sz w:val="32"/>
          <w:szCs w:val="32"/>
        </w:rPr>
        <w:t>万元，比上年减少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档案馆建设项目减少</w:t>
      </w:r>
      <w:r>
        <w:rPr>
          <w:rFonts w:ascii="Times New Roman" w:eastAsia="仿宋_GB2312"/>
          <w:sz w:val="32"/>
          <w:szCs w:val="32"/>
        </w:rPr>
        <w:t>。具体情况如下：</w:t>
      </w:r>
    </w:p>
    <w:p w:rsidR="00C37854" w:rsidRDefault="00E00414">
      <w:pPr>
        <w:widowControl/>
        <w:spacing w:line="360" w:lineRule="auto"/>
        <w:ind w:firstLineChars="200" w:firstLine="640"/>
        <w:jc w:val="left"/>
        <w:outlineLvl w:val="1"/>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w:t>
      </w:r>
      <w:r>
        <w:rPr>
          <w:rFonts w:ascii="Times New Roman" w:eastAsia="仿宋_GB2312"/>
          <w:sz w:val="32"/>
          <w:szCs w:val="32"/>
        </w:rPr>
        <w:t>216.35</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建设项目减少</w:t>
      </w:r>
      <w:r>
        <w:rPr>
          <w:rFonts w:ascii="Times New Roman" w:eastAsia="仿宋_GB2312"/>
          <w:sz w:val="32"/>
          <w:szCs w:val="32"/>
        </w:rPr>
        <w:t>；本年支出</w:t>
      </w:r>
      <w:r>
        <w:rPr>
          <w:rFonts w:ascii="Times New Roman" w:eastAsia="仿宋_GB2312"/>
          <w:sz w:val="32"/>
          <w:szCs w:val="32"/>
        </w:rPr>
        <w:lastRenderedPageBreak/>
        <w:t>216.35</w:t>
      </w:r>
      <w:r>
        <w:rPr>
          <w:rFonts w:ascii="Times New Roman" w:eastAsia="仿宋_GB2312"/>
          <w:sz w:val="32"/>
          <w:szCs w:val="32"/>
        </w:rPr>
        <w:t>万元，比上年减少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建设项目减少</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；本年支出</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；本年支出</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w:t>
      </w:r>
    </w:p>
    <w:p w:rsidR="00C37854" w:rsidRDefault="00E00414">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（二）财政拨款收支与年初预算数对比情况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216.35</w:t>
      </w:r>
      <w:r>
        <w:rPr>
          <w:rFonts w:ascii="Times New Roman" w:eastAsia="仿宋_GB2312"/>
          <w:sz w:val="32"/>
          <w:szCs w:val="32"/>
        </w:rPr>
        <w:t>万元，完成年初预算的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万元，决算数小于预算数主要原因是</w:t>
      </w:r>
      <w:r>
        <w:rPr>
          <w:rFonts w:ascii="Times New Roman" w:eastAsia="仿宋_GB2312" w:hint="eastAsia"/>
          <w:sz w:val="32"/>
          <w:szCs w:val="32"/>
        </w:rPr>
        <w:t>人员工资调整</w:t>
      </w:r>
      <w:r>
        <w:rPr>
          <w:rFonts w:ascii="Times New Roman" w:eastAsia="仿宋_GB2312"/>
          <w:sz w:val="32"/>
          <w:szCs w:val="32"/>
        </w:rPr>
        <w:t>；本年支出</w:t>
      </w:r>
      <w:r>
        <w:rPr>
          <w:rFonts w:ascii="Times New Roman" w:eastAsia="仿宋_GB2312"/>
          <w:sz w:val="32"/>
          <w:szCs w:val="32"/>
        </w:rPr>
        <w:t>216.35</w:t>
      </w:r>
      <w:r>
        <w:rPr>
          <w:rFonts w:ascii="Times New Roman" w:eastAsia="仿宋_GB2312"/>
          <w:sz w:val="32"/>
          <w:szCs w:val="32"/>
        </w:rPr>
        <w:t>万元，完成年初预算的</w:t>
      </w:r>
      <w:r>
        <w:rPr>
          <w:rFonts w:ascii="Times New Roman" w:eastAsia="仿宋_GB2312"/>
          <w:sz w:val="32"/>
          <w:szCs w:val="32"/>
        </w:rPr>
        <w:lastRenderedPageBreak/>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万元，决算数小于预算数主要原因是</w:t>
      </w:r>
      <w:r>
        <w:rPr>
          <w:rFonts w:ascii="Times New Roman" w:eastAsia="仿宋_GB2312" w:hint="eastAsia"/>
          <w:sz w:val="32"/>
          <w:szCs w:val="32"/>
        </w:rPr>
        <w:t>人员工资调整</w:t>
      </w:r>
      <w:r>
        <w:rPr>
          <w:rFonts w:ascii="Times New Roman" w:eastAsia="仿宋_GB2312"/>
          <w:sz w:val="32"/>
          <w:szCs w:val="32"/>
        </w:rPr>
        <w:t>。具体情况如下：</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；支出完成年初预算的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；支出完成年初预算的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无国有资本经营预算</w:t>
      </w:r>
      <w:r>
        <w:rPr>
          <w:rFonts w:ascii="Times New Roman" w:eastAsia="仿宋_GB2312"/>
          <w:sz w:val="32"/>
          <w:szCs w:val="32"/>
        </w:rPr>
        <w:t>；支出完成年初预算的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无国有资本经营预算</w:t>
      </w:r>
      <w:r>
        <w:rPr>
          <w:rFonts w:ascii="Times New Roman" w:eastAsia="仿宋_GB2312"/>
          <w:sz w:val="32"/>
          <w:szCs w:val="32"/>
        </w:rPr>
        <w:t>。</w:t>
      </w:r>
    </w:p>
    <w:p w:rsidR="00C37854" w:rsidRDefault="00C37854">
      <w:pPr>
        <w:pStyle w:val="aa"/>
        <w:widowControl/>
        <w:spacing w:beforeAutospacing="0" w:afterAutospacing="0"/>
        <w:rPr>
          <w:rFonts w:ascii="Times New Roman" w:eastAsia="Arial" w:hAnsi="Times New Roman"/>
        </w:rPr>
      </w:pPr>
    </w:p>
    <w:p w:rsidR="00C37854" w:rsidRDefault="00E00414">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（三）财政拨款支出决算结构情况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年度财政拨款支出</w:t>
      </w:r>
      <w:r>
        <w:rPr>
          <w:rFonts w:ascii="Times New Roman" w:eastAsia="仿宋_GB2312"/>
          <w:sz w:val="32"/>
          <w:szCs w:val="32"/>
        </w:rPr>
        <w:t>216.35</w:t>
      </w:r>
      <w:r>
        <w:rPr>
          <w:rFonts w:ascii="Times New Roman" w:eastAsia="仿宋_GB2312"/>
          <w:sz w:val="32"/>
          <w:szCs w:val="32"/>
        </w:rPr>
        <w:t>万元，主要用于以下方面：</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一般公共预算财政拨款支出：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163.93</w:t>
      </w:r>
      <w:r>
        <w:rPr>
          <w:rFonts w:ascii="Times New Roman" w:eastAsia="仿宋_GB2312"/>
          <w:sz w:val="32"/>
          <w:szCs w:val="32"/>
        </w:rPr>
        <w:t>万元，占</w:t>
      </w:r>
      <w:r>
        <w:rPr>
          <w:rFonts w:ascii="Times New Roman" w:eastAsia="仿宋_GB2312"/>
          <w:sz w:val="32"/>
          <w:szCs w:val="32"/>
        </w:rPr>
        <w:t>75.8%</w:t>
      </w:r>
      <w:r>
        <w:rPr>
          <w:rFonts w:ascii="Times New Roman" w:eastAsia="仿宋_GB2312"/>
          <w:sz w:val="32"/>
          <w:szCs w:val="32"/>
        </w:rPr>
        <w:t>，主要用于</w:t>
      </w:r>
      <w:r>
        <w:rPr>
          <w:rFonts w:ascii="Times New Roman" w:eastAsia="仿宋_GB2312" w:hint="eastAsia"/>
          <w:sz w:val="32"/>
          <w:szCs w:val="32"/>
        </w:rPr>
        <w:t>一般公共服务等</w:t>
      </w:r>
      <w:r>
        <w:rPr>
          <w:rFonts w:ascii="Times New Roman" w:eastAsia="仿宋_GB2312"/>
          <w:sz w:val="32"/>
          <w:szCs w:val="32"/>
        </w:rPr>
        <w:t>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38.52</w:t>
      </w:r>
      <w:r>
        <w:rPr>
          <w:rFonts w:ascii="Times New Roman" w:eastAsia="仿宋_GB2312"/>
          <w:sz w:val="32"/>
          <w:szCs w:val="32"/>
        </w:rPr>
        <w:t>万元，占</w:t>
      </w:r>
      <w:r>
        <w:rPr>
          <w:rFonts w:ascii="Times New Roman" w:eastAsia="仿宋_GB2312"/>
          <w:sz w:val="32"/>
          <w:szCs w:val="32"/>
        </w:rPr>
        <w:t>17.8%</w:t>
      </w:r>
      <w:r>
        <w:rPr>
          <w:rFonts w:ascii="Times New Roman" w:eastAsia="仿宋_GB2312"/>
          <w:sz w:val="32"/>
          <w:szCs w:val="32"/>
        </w:rPr>
        <w:t>，主要用于</w:t>
      </w:r>
      <w:r>
        <w:rPr>
          <w:rFonts w:ascii="Times New Roman" w:eastAsia="仿宋_GB2312" w:hint="eastAsia"/>
          <w:sz w:val="32"/>
          <w:szCs w:val="32"/>
        </w:rPr>
        <w:t>机关事业部门基本养老保险缴费、职业年金缴费</w:t>
      </w:r>
      <w:r>
        <w:rPr>
          <w:rFonts w:ascii="Times New Roman" w:eastAsia="仿宋_GB2312"/>
          <w:sz w:val="32"/>
          <w:szCs w:val="32"/>
        </w:rPr>
        <w:t>等支出；卫生健康（类）支出</w:t>
      </w:r>
      <w:r>
        <w:rPr>
          <w:rFonts w:ascii="Times New Roman" w:eastAsia="仿宋_GB2312"/>
          <w:sz w:val="32"/>
          <w:szCs w:val="32"/>
        </w:rPr>
        <w:t>5.15</w:t>
      </w:r>
      <w:r>
        <w:rPr>
          <w:rFonts w:ascii="Times New Roman" w:eastAsia="仿宋_GB2312"/>
          <w:sz w:val="32"/>
          <w:szCs w:val="32"/>
        </w:rPr>
        <w:t>万元，占</w:t>
      </w:r>
      <w:r>
        <w:rPr>
          <w:rFonts w:ascii="Times New Roman" w:eastAsia="仿宋_GB2312"/>
          <w:sz w:val="32"/>
          <w:szCs w:val="32"/>
        </w:rPr>
        <w:t>2.4%</w:t>
      </w:r>
      <w:r>
        <w:rPr>
          <w:rFonts w:ascii="Times New Roman" w:eastAsia="仿宋_GB2312"/>
          <w:sz w:val="32"/>
          <w:szCs w:val="32"/>
        </w:rPr>
        <w:t>，主要用于</w:t>
      </w:r>
      <w:r>
        <w:rPr>
          <w:rFonts w:ascii="Times New Roman" w:eastAsia="仿宋_GB2312" w:hint="eastAsia"/>
          <w:sz w:val="32"/>
          <w:szCs w:val="32"/>
        </w:rPr>
        <w:t>职工基本医疗保险缴费、公务员医疗补助缴费</w:t>
      </w:r>
      <w:r>
        <w:rPr>
          <w:rFonts w:ascii="Times New Roman" w:eastAsia="仿宋_GB2312"/>
          <w:sz w:val="32"/>
          <w:szCs w:val="32"/>
        </w:rPr>
        <w:t>等支出；住房保障（类）支出</w:t>
      </w:r>
      <w:r>
        <w:rPr>
          <w:rFonts w:ascii="Times New Roman" w:eastAsia="仿宋_GB2312"/>
          <w:sz w:val="32"/>
          <w:szCs w:val="32"/>
        </w:rPr>
        <w:t>8.75</w:t>
      </w:r>
      <w:r>
        <w:rPr>
          <w:rFonts w:ascii="Times New Roman" w:eastAsia="仿宋_GB2312"/>
          <w:sz w:val="32"/>
          <w:szCs w:val="32"/>
        </w:rPr>
        <w:t>万元，占</w:t>
      </w:r>
      <w:r>
        <w:rPr>
          <w:rFonts w:ascii="Times New Roman" w:eastAsia="仿宋_GB2312"/>
          <w:sz w:val="32"/>
          <w:szCs w:val="32"/>
        </w:rPr>
        <w:t>4.0%</w:t>
      </w:r>
      <w:r>
        <w:rPr>
          <w:rFonts w:ascii="Times New Roman" w:eastAsia="仿宋_GB2312"/>
          <w:sz w:val="32"/>
          <w:szCs w:val="32"/>
        </w:rPr>
        <w:t>，主要用于</w:t>
      </w:r>
      <w:r>
        <w:rPr>
          <w:rFonts w:ascii="Times New Roman" w:eastAsia="仿宋_GB2312" w:hint="eastAsia"/>
          <w:sz w:val="32"/>
          <w:szCs w:val="32"/>
        </w:rPr>
        <w:t>住房公积金等支出。</w:t>
      </w:r>
    </w:p>
    <w:p w:rsidR="00C37854" w:rsidRDefault="00E00414">
      <w:pPr>
        <w:widowControl/>
        <w:spacing w:line="360" w:lineRule="auto"/>
        <w:ind w:firstLineChars="200" w:firstLine="641"/>
        <w:jc w:val="left"/>
        <w:rPr>
          <w:rFonts w:ascii="Times New Roman" w:eastAsia="仿宋_GB2312"/>
          <w:b/>
          <w:sz w:val="32"/>
          <w:szCs w:val="32"/>
        </w:rPr>
      </w:pPr>
      <w:bookmarkStart w:id="3" w:name="OLE_LINK1"/>
      <w:bookmarkStart w:id="4" w:name="OLE_LINK2"/>
      <w:r>
        <w:rPr>
          <w:rFonts w:ascii="Times New Roman" w:eastAsia="仿宋_GB2312"/>
          <w:b/>
          <w:sz w:val="32"/>
          <w:szCs w:val="32"/>
        </w:rPr>
        <w:t>政府性基金预算财政拨款支出</w:t>
      </w:r>
      <w:bookmarkEnd w:id="3"/>
      <w:bookmarkEnd w:id="4"/>
      <w:r>
        <w:rPr>
          <w:rFonts w:ascii="Times New Roman" w:eastAsia="仿宋_GB2312"/>
          <w:b/>
          <w:sz w:val="32"/>
          <w:szCs w:val="32"/>
        </w:rPr>
        <w:t>：</w:t>
      </w:r>
    </w:p>
    <w:p w:rsidR="00C37854" w:rsidRDefault="00E00414">
      <w:pPr>
        <w:widowControl/>
        <w:spacing w:line="360" w:lineRule="auto"/>
        <w:ind w:firstLineChars="200" w:firstLine="640"/>
        <w:jc w:val="left"/>
        <w:rPr>
          <w:rFonts w:ascii="仿宋" w:eastAsia="仿宋" w:hAnsi="仿宋"/>
          <w:sz w:val="32"/>
          <w:szCs w:val="32"/>
        </w:rPr>
      </w:pPr>
      <w:r>
        <w:rPr>
          <w:rFonts w:ascii="仿宋" w:eastAsia="仿宋" w:hAnsi="仿宋" w:hint="eastAsia"/>
          <w:sz w:val="32"/>
          <w:szCs w:val="32"/>
        </w:rPr>
        <w:t>我部门无</w:t>
      </w:r>
      <w:r>
        <w:rPr>
          <w:rFonts w:ascii="仿宋" w:eastAsia="仿宋" w:hAnsi="仿宋"/>
          <w:sz w:val="32"/>
          <w:szCs w:val="32"/>
        </w:rPr>
        <w:t>政府性基金预算财政拨款支出</w:t>
      </w:r>
      <w:r>
        <w:rPr>
          <w:rFonts w:ascii="仿宋" w:eastAsia="仿宋" w:hAnsi="仿宋" w:hint="eastAsia"/>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国有资本经营预算财政拨款支出：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lastRenderedPageBreak/>
        <w:t>我部门无国有资本经营预算财政拨款支出。</w:t>
      </w:r>
    </w:p>
    <w:p w:rsidR="00C37854" w:rsidRDefault="00E00414">
      <w:pPr>
        <w:pStyle w:val="aa"/>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noProof/>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（四）一般公共预算基本支出决算情况说明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年度财政拨款基本支出</w:t>
      </w:r>
      <w:r>
        <w:rPr>
          <w:rFonts w:ascii="Times New Roman" w:eastAsia="仿宋_GB2312"/>
          <w:sz w:val="32"/>
          <w:szCs w:val="32"/>
        </w:rPr>
        <w:t>137.55</w:t>
      </w:r>
      <w:r>
        <w:rPr>
          <w:rFonts w:ascii="Times New Roman" w:eastAsia="仿宋_GB2312"/>
          <w:sz w:val="32"/>
          <w:szCs w:val="32"/>
        </w:rPr>
        <w:t>万元，其中：</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人员经费</w:t>
      </w:r>
      <w:r>
        <w:rPr>
          <w:rFonts w:ascii="Times New Roman" w:eastAsia="仿宋_GB2312"/>
          <w:sz w:val="32"/>
          <w:szCs w:val="32"/>
        </w:rPr>
        <w:t>129.69</w:t>
      </w:r>
      <w:r>
        <w:rPr>
          <w:rFonts w:ascii="Times New Roman" w:eastAsia="仿宋_GB2312"/>
          <w:sz w:val="32"/>
          <w:szCs w:val="32"/>
        </w:rPr>
        <w:t>万元，主要包括基本工资、津贴补贴、奖金、伙食补助费、绩效工资、</w:t>
      </w:r>
      <w:bookmarkStart w:id="5" w:name="OLE_LINK3"/>
      <w:r>
        <w:rPr>
          <w:rFonts w:ascii="Times New Roman" w:eastAsia="仿宋_GB2312"/>
          <w:sz w:val="32"/>
          <w:szCs w:val="32"/>
        </w:rPr>
        <w:t>机关事业部门基本养老保险缴费、职业年金缴费、职工基本医疗保险缴费、公务员医疗补助缴费</w:t>
      </w:r>
      <w:bookmarkEnd w:id="5"/>
      <w:r>
        <w:rPr>
          <w:rFonts w:ascii="Times New Roman" w:eastAsia="仿宋_GB2312"/>
          <w:sz w:val="32"/>
          <w:szCs w:val="32"/>
        </w:rPr>
        <w:t>、</w:t>
      </w:r>
      <w:bookmarkStart w:id="6" w:name="OLE_LINK4"/>
      <w:r>
        <w:rPr>
          <w:rFonts w:ascii="Times New Roman" w:eastAsia="仿宋_GB2312"/>
          <w:sz w:val="32"/>
          <w:szCs w:val="32"/>
        </w:rPr>
        <w:t>住房公积金</w:t>
      </w:r>
      <w:bookmarkEnd w:id="6"/>
      <w:r>
        <w:rPr>
          <w:rFonts w:ascii="Times New Roman" w:eastAsia="仿宋_GB2312"/>
          <w:sz w:val="32"/>
          <w:szCs w:val="32"/>
        </w:rPr>
        <w:t>、医疗费、其他社会保障缴费、其他工资福利支出、离休费、</w:t>
      </w:r>
      <w:r>
        <w:rPr>
          <w:rFonts w:ascii="Times New Roman" w:eastAsia="仿宋_GB2312"/>
          <w:sz w:val="32"/>
          <w:szCs w:val="32"/>
        </w:rPr>
        <w:t xml:space="preserve"> </w:t>
      </w:r>
      <w:r>
        <w:rPr>
          <w:rFonts w:ascii="Times New Roman" w:eastAsia="仿宋_GB2312"/>
          <w:sz w:val="32"/>
          <w:szCs w:val="32"/>
        </w:rPr>
        <w:t>退休费、</w:t>
      </w:r>
      <w:r>
        <w:rPr>
          <w:rFonts w:ascii="Times New Roman" w:eastAsia="仿宋_GB2312"/>
          <w:sz w:val="32"/>
          <w:szCs w:val="32"/>
        </w:rPr>
        <w:t xml:space="preserve"> </w:t>
      </w:r>
      <w:r>
        <w:rPr>
          <w:rFonts w:ascii="Times New Roman" w:eastAsia="仿宋_GB2312"/>
          <w:sz w:val="32"/>
          <w:szCs w:val="32"/>
        </w:rPr>
        <w:t>抚恤金、生活补助、医疗费补助、奖励金、其他对个人和家庭的补助支出。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公用经费</w:t>
      </w:r>
      <w:r>
        <w:rPr>
          <w:rFonts w:ascii="Times New Roman" w:eastAsia="仿宋_GB2312"/>
          <w:sz w:val="32"/>
          <w:szCs w:val="32"/>
        </w:rPr>
        <w:t>7.86</w:t>
      </w:r>
      <w:r>
        <w:rPr>
          <w:rFonts w:ascii="Times New Roman" w:eastAsia="仿宋_GB2312"/>
          <w:sz w:val="32"/>
          <w:szCs w:val="32"/>
        </w:rPr>
        <w:t>万元，主要包括办公费、印刷费、咨询费、手续费、水费、电费、邮电费、取</w:t>
      </w:r>
      <w:r>
        <w:rPr>
          <w:rFonts w:ascii="Times New Roman" w:eastAsia="仿宋_GB2312"/>
          <w:sz w:val="32"/>
          <w:szCs w:val="32"/>
        </w:rPr>
        <w:t xml:space="preserve"> </w:t>
      </w:r>
      <w:r>
        <w:rPr>
          <w:rFonts w:ascii="Times New Roman" w:eastAsia="仿宋_GB2312"/>
          <w:sz w:val="32"/>
          <w:szCs w:val="32"/>
        </w:rPr>
        <w:t>暖费、物业管理费、差旅费、因公出国（境）费用、维修（护）费、租赁费、会议费、培训费、</w:t>
      </w:r>
      <w:r>
        <w:rPr>
          <w:rFonts w:ascii="Times New Roman" w:eastAsia="仿宋_GB2312"/>
          <w:sz w:val="32"/>
          <w:szCs w:val="32"/>
        </w:rPr>
        <w:lastRenderedPageBreak/>
        <w:t>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五、财政拨款</w:t>
      </w:r>
      <w:r>
        <w:rPr>
          <w:rFonts w:ascii="Times New Roman" w:eastAsia="黑体"/>
          <w:sz w:val="32"/>
          <w:szCs w:val="32"/>
        </w:rPr>
        <w:t>“</w:t>
      </w:r>
      <w:r>
        <w:rPr>
          <w:rFonts w:ascii="Times New Roman" w:eastAsia="黑体"/>
          <w:sz w:val="32"/>
          <w:szCs w:val="32"/>
        </w:rPr>
        <w:t>三公</w:t>
      </w:r>
      <w:r>
        <w:rPr>
          <w:rFonts w:ascii="Times New Roman" w:eastAsia="黑体"/>
          <w:sz w:val="32"/>
          <w:szCs w:val="32"/>
        </w:rPr>
        <w:t>”</w:t>
      </w:r>
      <w:r>
        <w:rPr>
          <w:rFonts w:ascii="Times New Roman" w:eastAsia="黑体"/>
          <w:sz w:val="32"/>
          <w:szCs w:val="32"/>
        </w:rPr>
        <w:t xml:space="preserve"> </w:t>
      </w:r>
      <w:r>
        <w:rPr>
          <w:rFonts w:ascii="Times New Roman" w:eastAsia="黑体"/>
          <w:sz w:val="32"/>
          <w:szCs w:val="32"/>
        </w:rPr>
        <w:t>经费支出决算情况说明</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（一）</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经费财政拨款支出预算为</w:t>
      </w:r>
      <w:r>
        <w:rPr>
          <w:rFonts w:ascii="Times New Roman" w:eastAsia="仿宋_GB2312" w:hint="eastAsia"/>
          <w:sz w:val="32"/>
          <w:szCs w:val="32"/>
        </w:rPr>
        <w:t>0</w:t>
      </w:r>
      <w:r>
        <w:rPr>
          <w:rFonts w:ascii="Times New Roman" w:eastAsia="仿宋_GB2312"/>
          <w:sz w:val="32"/>
          <w:szCs w:val="32"/>
        </w:rPr>
        <w:t>万元，支出决算为</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；较</w:t>
      </w:r>
      <w:r>
        <w:rPr>
          <w:rFonts w:ascii="Times New Roman" w:eastAsia="仿宋_GB2312"/>
          <w:sz w:val="32"/>
          <w:szCs w:val="32"/>
        </w:rPr>
        <w:t>2023</w:t>
      </w:r>
      <w:r>
        <w:rPr>
          <w:rFonts w:ascii="Times New Roman" w:eastAsia="仿宋_GB2312"/>
          <w:sz w:val="32"/>
          <w:szCs w:val="32"/>
        </w:rPr>
        <w:t>年度决算增加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w:t>
      </w:r>
      <w:r>
        <w:rPr>
          <w:rFonts w:ascii="Times New Roman" w:eastAsia="仿宋_GB2312" w:hint="eastAsia"/>
          <w:sz w:val="32"/>
          <w:szCs w:val="32"/>
        </w:rPr>
        <w:t>严格执行预算，无预算不支出</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（二）</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经费财政拨款支出决算具体情况说明</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t>1.</w:t>
      </w:r>
      <w:r>
        <w:rPr>
          <w:rFonts w:ascii="Times New Roman" w:eastAsia="楷体_GB2312"/>
          <w:b/>
          <w:sz w:val="32"/>
          <w:szCs w:val="32"/>
        </w:rPr>
        <w:t>因公出国（境）费支出情况。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年度因公出国（境）费支出预算为</w:t>
      </w:r>
      <w:r>
        <w:rPr>
          <w:rFonts w:ascii="Times New Roman" w:eastAsia="仿宋_GB2312" w:hint="eastAsia"/>
          <w:sz w:val="32"/>
          <w:szCs w:val="32"/>
        </w:rPr>
        <w:t>0</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。因公出国（境）费支出较预算增加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无本单位组织的出国（境）团组</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无本单位组织的出国（境）团组</w:t>
      </w:r>
      <w:r>
        <w:rPr>
          <w:rFonts w:ascii="Times New Roman" w:eastAsia="仿宋_GB2312"/>
          <w:sz w:val="32"/>
          <w:szCs w:val="32"/>
        </w:rPr>
        <w:t>。因公出国（境）团组</w:t>
      </w:r>
      <w:r>
        <w:rPr>
          <w:rFonts w:ascii="Times New Roman" w:eastAsia="仿宋_GB2312"/>
          <w:sz w:val="32"/>
          <w:szCs w:val="32"/>
        </w:rPr>
        <w:t>0</w:t>
      </w:r>
      <w:r>
        <w:rPr>
          <w:rFonts w:ascii="Times New Roman" w:eastAsia="仿宋_GB2312"/>
          <w:sz w:val="32"/>
          <w:szCs w:val="32"/>
        </w:rPr>
        <w:t>个、共</w:t>
      </w:r>
      <w:r>
        <w:rPr>
          <w:rFonts w:ascii="Times New Roman" w:eastAsia="仿宋_GB2312"/>
          <w:sz w:val="32"/>
          <w:szCs w:val="32"/>
        </w:rPr>
        <w:t>0</w:t>
      </w:r>
      <w:r>
        <w:rPr>
          <w:rFonts w:ascii="Times New Roman" w:eastAsia="仿宋_GB2312"/>
          <w:sz w:val="32"/>
          <w:szCs w:val="32"/>
        </w:rPr>
        <w:t>人、参加其他单位组织的因公出国（境）团组</w:t>
      </w:r>
      <w:r>
        <w:rPr>
          <w:rFonts w:ascii="Times New Roman" w:eastAsia="仿宋_GB2312" w:hint="eastAsia"/>
          <w:sz w:val="32"/>
          <w:szCs w:val="32"/>
        </w:rPr>
        <w:t>0</w:t>
      </w:r>
      <w:r>
        <w:rPr>
          <w:rFonts w:ascii="Times New Roman" w:eastAsia="仿宋_GB2312"/>
          <w:sz w:val="32"/>
          <w:szCs w:val="32"/>
        </w:rPr>
        <w:t>个、共</w:t>
      </w:r>
      <w:r>
        <w:rPr>
          <w:rFonts w:ascii="Times New Roman" w:eastAsia="仿宋_GB2312" w:hint="eastAsia"/>
          <w:sz w:val="32"/>
          <w:szCs w:val="32"/>
        </w:rPr>
        <w:t>0</w:t>
      </w:r>
      <w:r>
        <w:rPr>
          <w:rFonts w:ascii="Times New Roman" w:eastAsia="仿宋_GB2312"/>
          <w:sz w:val="32"/>
          <w:szCs w:val="32"/>
        </w:rPr>
        <w:t>人</w:t>
      </w:r>
      <w:r>
        <w:rPr>
          <w:rFonts w:ascii="Times New Roman" w:eastAsia="仿宋_GB2312"/>
          <w:sz w:val="32"/>
          <w:szCs w:val="32"/>
        </w:rPr>
        <w:t>/</w:t>
      </w:r>
      <w:r>
        <w:rPr>
          <w:rFonts w:ascii="Times New Roman" w:eastAsia="仿宋_GB2312"/>
          <w:sz w:val="32"/>
          <w:szCs w:val="32"/>
        </w:rPr>
        <w:t>无本部门组织的出国（境）团组。</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lastRenderedPageBreak/>
        <w:t>2.</w:t>
      </w:r>
      <w:r>
        <w:rPr>
          <w:rFonts w:ascii="Times New Roman" w:eastAsia="楷体_GB2312"/>
          <w:b/>
          <w:sz w:val="32"/>
          <w:szCs w:val="32"/>
        </w:rPr>
        <w:t>公务用车购置及运行维护费支出情况。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年度公务用车购置及运行维护费预算为</w:t>
      </w:r>
      <w:r>
        <w:rPr>
          <w:rFonts w:ascii="Times New Roman" w:eastAsia="仿宋_GB2312" w:hint="eastAsia"/>
          <w:sz w:val="32"/>
          <w:szCs w:val="32"/>
        </w:rPr>
        <w:t>0</w:t>
      </w:r>
      <w:r>
        <w:rPr>
          <w:rFonts w:ascii="Times New Roman" w:eastAsia="仿宋_GB2312"/>
          <w:sz w:val="32"/>
          <w:szCs w:val="32"/>
        </w:rPr>
        <w:t>万元，支出决算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w:t>
      </w:r>
      <w:r>
        <w:rPr>
          <w:rFonts w:ascii="Times New Roman" w:eastAsia="仿宋_GB2312" w:hint="eastAsia"/>
          <w:sz w:val="32"/>
          <w:szCs w:val="32"/>
        </w:rPr>
        <w:t>本单位无公务用车</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。其中：</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公务用车购置费支出</w:t>
      </w:r>
      <w:r>
        <w:rPr>
          <w:rFonts w:ascii="Times New Roman" w:eastAsia="仿宋_GB2312" w:hint="eastAsia"/>
          <w:b/>
          <w:sz w:val="32"/>
          <w:szCs w:val="32"/>
        </w:rPr>
        <w:t>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年度公务用车购置量</w:t>
      </w:r>
      <w:r>
        <w:rPr>
          <w:rFonts w:ascii="Times New Roman" w:eastAsia="仿宋_GB2312"/>
          <w:sz w:val="32"/>
          <w:szCs w:val="32"/>
        </w:rPr>
        <w:t>0</w:t>
      </w:r>
      <w:r>
        <w:rPr>
          <w:rFonts w:ascii="Times New Roman" w:eastAsia="仿宋_GB2312"/>
          <w:sz w:val="32"/>
          <w:szCs w:val="32"/>
        </w:rPr>
        <w:t>辆，发生</w:t>
      </w:r>
      <w:r>
        <w:rPr>
          <w:rFonts w:ascii="Times New Roman" w:eastAsia="仿宋_GB2312"/>
          <w:sz w:val="32"/>
          <w:szCs w:val="32"/>
        </w:rPr>
        <w:t>“</w:t>
      </w:r>
      <w:r>
        <w:rPr>
          <w:rFonts w:ascii="Times New Roman" w:eastAsia="仿宋_GB2312"/>
          <w:sz w:val="32"/>
          <w:szCs w:val="32"/>
        </w:rPr>
        <w:t>公务用车购置</w:t>
      </w:r>
      <w:r>
        <w:rPr>
          <w:rFonts w:ascii="Times New Roman" w:eastAsia="仿宋_GB2312"/>
          <w:sz w:val="32"/>
          <w:szCs w:val="32"/>
        </w:rPr>
        <w:t>”</w:t>
      </w:r>
      <w:r>
        <w:rPr>
          <w:rFonts w:ascii="Times New Roman" w:eastAsia="仿宋_GB2312"/>
          <w:sz w:val="32"/>
          <w:szCs w:val="32"/>
        </w:rPr>
        <w:t>经费支出</w:t>
      </w:r>
      <w:r>
        <w:rPr>
          <w:rFonts w:ascii="Times New Roman" w:eastAsia="仿宋_GB2312" w:hint="eastAsia"/>
          <w:sz w:val="32"/>
          <w:szCs w:val="32"/>
        </w:rPr>
        <w:t>0</w:t>
      </w:r>
      <w:r>
        <w:rPr>
          <w:rFonts w:ascii="Times New Roman" w:eastAsia="仿宋_GB2312"/>
          <w:sz w:val="32"/>
          <w:szCs w:val="32"/>
        </w:rPr>
        <w:t>万元。公务用车购置费支出较预算增加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公务用车运行维护费支出</w:t>
      </w:r>
      <w:r>
        <w:rPr>
          <w:rFonts w:ascii="Times New Roman" w:eastAsia="仿宋_GB2312" w:hint="eastAsia"/>
          <w:b/>
          <w:sz w:val="32"/>
          <w:szCs w:val="32"/>
        </w:rPr>
        <w:t>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年度单位公务用车保有量</w:t>
      </w:r>
      <w:r>
        <w:rPr>
          <w:rFonts w:ascii="Times New Roman" w:eastAsia="仿宋_GB2312"/>
          <w:sz w:val="32"/>
          <w:szCs w:val="32"/>
        </w:rPr>
        <w:t>0</w:t>
      </w:r>
      <w:r>
        <w:rPr>
          <w:rFonts w:ascii="Times New Roman" w:eastAsia="仿宋_GB2312"/>
          <w:sz w:val="32"/>
          <w:szCs w:val="32"/>
        </w:rPr>
        <w:t>辆，发生运行维护费支出</w:t>
      </w:r>
      <w:r>
        <w:rPr>
          <w:rFonts w:ascii="Times New Roman" w:eastAsia="仿宋_GB2312" w:hint="eastAsia"/>
          <w:sz w:val="32"/>
          <w:szCs w:val="32"/>
        </w:rPr>
        <w:t>0</w:t>
      </w:r>
      <w:r>
        <w:rPr>
          <w:rFonts w:ascii="Times New Roman" w:eastAsia="仿宋_GB2312"/>
          <w:sz w:val="32"/>
          <w:szCs w:val="32"/>
        </w:rPr>
        <w:t>万元。公车运行维护费支出较预算增加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本单位无公务用车</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本单位无公务用车</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t>3.</w:t>
      </w:r>
      <w:r>
        <w:rPr>
          <w:rFonts w:ascii="Times New Roman" w:eastAsia="楷体_GB2312"/>
          <w:b/>
          <w:sz w:val="32"/>
          <w:szCs w:val="32"/>
        </w:rPr>
        <w:t>公务接待费支出情况。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年度公务接待费支出预算为</w:t>
      </w:r>
      <w:r>
        <w:rPr>
          <w:rFonts w:ascii="Times New Roman" w:eastAsia="仿宋_GB2312" w:hint="eastAsia"/>
          <w:sz w:val="32"/>
          <w:szCs w:val="32"/>
        </w:rPr>
        <w:t>0</w:t>
      </w:r>
      <w:r>
        <w:rPr>
          <w:rFonts w:ascii="Times New Roman" w:eastAsia="仿宋_GB2312"/>
          <w:sz w:val="32"/>
          <w:szCs w:val="32"/>
        </w:rPr>
        <w:t>万元，支出决算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。公务接待费支出较预算增加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未发生公务接待经费支出</w:t>
      </w:r>
      <w:r>
        <w:rPr>
          <w:rFonts w:ascii="Times New Roman" w:eastAsia="仿宋_GB2312"/>
          <w:sz w:val="32"/>
          <w:szCs w:val="32"/>
        </w:rPr>
        <w:t>；较上年度增加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未发生公务接待经费支出</w:t>
      </w:r>
      <w:r>
        <w:rPr>
          <w:rFonts w:ascii="Times New Roman" w:eastAsia="仿宋_GB2312"/>
          <w:sz w:val="32"/>
          <w:szCs w:val="32"/>
        </w:rPr>
        <w:t>。本年度共发生公务接待</w:t>
      </w:r>
      <w:r>
        <w:rPr>
          <w:rFonts w:ascii="Times New Roman" w:eastAsia="仿宋_GB2312"/>
          <w:sz w:val="32"/>
          <w:szCs w:val="32"/>
        </w:rPr>
        <w:t>0</w:t>
      </w:r>
      <w:r>
        <w:rPr>
          <w:rFonts w:ascii="Times New Roman" w:eastAsia="仿宋_GB2312"/>
          <w:sz w:val="32"/>
          <w:szCs w:val="32"/>
        </w:rPr>
        <w:t>批次、</w:t>
      </w:r>
      <w:r>
        <w:rPr>
          <w:rFonts w:ascii="Times New Roman" w:eastAsia="仿宋_GB2312"/>
          <w:sz w:val="32"/>
          <w:szCs w:val="32"/>
        </w:rPr>
        <w:t>0</w:t>
      </w:r>
      <w:r>
        <w:rPr>
          <w:rFonts w:ascii="Times New Roman" w:eastAsia="仿宋_GB2312"/>
          <w:sz w:val="32"/>
          <w:szCs w:val="32"/>
        </w:rPr>
        <w:t>人次。</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lastRenderedPageBreak/>
        <w:t>六、机关运行经费支出说明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年度机关运行经费支出</w:t>
      </w:r>
      <w:r>
        <w:rPr>
          <w:rFonts w:ascii="Times New Roman" w:eastAsia="仿宋_GB2312" w:hint="eastAsia"/>
          <w:sz w:val="32"/>
          <w:szCs w:val="32"/>
        </w:rPr>
        <w:t>0</w:t>
      </w:r>
      <w:r>
        <w:rPr>
          <w:rFonts w:ascii="Times New Roman" w:eastAsia="仿宋_GB2312"/>
          <w:sz w:val="32"/>
          <w:szCs w:val="32"/>
        </w:rPr>
        <w:t>万元，较</w:t>
      </w:r>
      <w:r>
        <w:rPr>
          <w:rFonts w:ascii="Times New Roman" w:eastAsia="仿宋_GB2312"/>
          <w:sz w:val="32"/>
          <w:szCs w:val="32"/>
        </w:rPr>
        <w:t>2023</w:t>
      </w:r>
      <w:r>
        <w:rPr>
          <w:rFonts w:ascii="Times New Roman" w:eastAsia="仿宋_GB2312"/>
          <w:sz w:val="32"/>
          <w:szCs w:val="32"/>
        </w:rPr>
        <w:t>年度增加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我单位为事业单位，无机关运行费</w:t>
      </w:r>
      <w:r>
        <w:rPr>
          <w:rFonts w:ascii="Times New Roman" w:eastAsia="仿宋_GB2312"/>
          <w:sz w:val="32"/>
          <w:szCs w:val="32"/>
        </w:rPr>
        <w:t>。</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七、政府采购支出说明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年度政府采购支出总额</w:t>
      </w:r>
      <w:r>
        <w:rPr>
          <w:rFonts w:ascii="Times New Roman" w:eastAsia="仿宋_GB2312" w:hint="eastAsia"/>
          <w:sz w:val="32"/>
          <w:szCs w:val="32"/>
        </w:rPr>
        <w:t>0</w:t>
      </w:r>
      <w:r>
        <w:rPr>
          <w:rFonts w:ascii="Times New Roman" w:eastAsia="仿宋_GB2312"/>
          <w:sz w:val="32"/>
          <w:szCs w:val="32"/>
        </w:rPr>
        <w:t>万元，从采购类型来看，政府采购货物支出</w:t>
      </w:r>
      <w:r>
        <w:rPr>
          <w:rFonts w:ascii="Times New Roman" w:eastAsia="仿宋_GB2312" w:hint="eastAsia"/>
          <w:sz w:val="32"/>
          <w:szCs w:val="32"/>
        </w:rPr>
        <w:t>0</w:t>
      </w:r>
      <w:r>
        <w:rPr>
          <w:rFonts w:ascii="Times New Roman" w:eastAsia="仿宋_GB2312"/>
          <w:sz w:val="32"/>
          <w:szCs w:val="32"/>
        </w:rPr>
        <w:t>万元、政府采购工程支出</w:t>
      </w:r>
      <w:r>
        <w:rPr>
          <w:rFonts w:ascii="Times New Roman" w:eastAsia="仿宋_GB2312" w:hint="eastAsia"/>
          <w:sz w:val="32"/>
          <w:szCs w:val="32"/>
        </w:rPr>
        <w:t>0</w:t>
      </w:r>
      <w:r>
        <w:rPr>
          <w:rFonts w:ascii="Times New Roman" w:eastAsia="仿宋_GB2312"/>
          <w:sz w:val="32"/>
          <w:szCs w:val="32"/>
        </w:rPr>
        <w:t>万元、政府采购服务支出</w:t>
      </w:r>
      <w:r>
        <w:rPr>
          <w:rFonts w:ascii="Times New Roman" w:eastAsia="仿宋_GB2312" w:hint="eastAsia"/>
          <w:sz w:val="32"/>
          <w:szCs w:val="32"/>
        </w:rPr>
        <w:t>0</w:t>
      </w:r>
      <w:r>
        <w:rPr>
          <w:rFonts w:ascii="Times New Roman" w:eastAsia="仿宋_GB2312"/>
          <w:sz w:val="32"/>
          <w:szCs w:val="32"/>
        </w:rPr>
        <w:t>万元。授予中小企业合同金额</w:t>
      </w:r>
      <w:r>
        <w:rPr>
          <w:rFonts w:ascii="Times New Roman" w:eastAsia="仿宋_GB2312" w:hint="eastAsia"/>
          <w:sz w:val="32"/>
          <w:szCs w:val="32"/>
        </w:rPr>
        <w:t>0</w:t>
      </w:r>
      <w:r>
        <w:rPr>
          <w:rFonts w:ascii="Times New Roman" w:eastAsia="仿宋_GB2312"/>
          <w:sz w:val="32"/>
          <w:szCs w:val="32"/>
        </w:rPr>
        <w:t>万元，占政府采购支出总额的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，其中授予小微企业合同金额</w:t>
      </w:r>
      <w:r>
        <w:rPr>
          <w:rFonts w:ascii="Times New Roman" w:eastAsia="仿宋_GB2312" w:hint="eastAsia"/>
          <w:sz w:val="32"/>
          <w:szCs w:val="32"/>
        </w:rPr>
        <w:t>0</w:t>
      </w:r>
      <w:r>
        <w:rPr>
          <w:rFonts w:ascii="Times New Roman" w:eastAsia="仿宋_GB2312"/>
          <w:sz w:val="32"/>
          <w:szCs w:val="32"/>
        </w:rPr>
        <w:t>万元，占政府采购支出总额的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八、国有资产占用情况说明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截至</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12</w:t>
      </w:r>
      <w:r>
        <w:rPr>
          <w:rFonts w:ascii="Times New Roman" w:eastAsia="仿宋_GB2312"/>
          <w:sz w:val="32"/>
          <w:szCs w:val="32"/>
        </w:rPr>
        <w:t>月</w:t>
      </w:r>
      <w:r>
        <w:rPr>
          <w:rFonts w:ascii="Times New Roman" w:eastAsia="仿宋_GB2312"/>
          <w:sz w:val="32"/>
          <w:szCs w:val="32"/>
        </w:rPr>
        <w:t>31</w:t>
      </w:r>
      <w:r>
        <w:rPr>
          <w:rFonts w:ascii="Times New Roman" w:eastAsia="仿宋_GB2312"/>
          <w:sz w:val="32"/>
          <w:szCs w:val="32"/>
        </w:rPr>
        <w:t>日，本部门共有车辆</w:t>
      </w:r>
      <w:r>
        <w:rPr>
          <w:rFonts w:ascii="Times New Roman" w:eastAsia="仿宋_GB2312"/>
          <w:sz w:val="32"/>
          <w:szCs w:val="32"/>
        </w:rPr>
        <w:t>0</w:t>
      </w:r>
      <w:r>
        <w:rPr>
          <w:rFonts w:ascii="Times New Roman" w:eastAsia="仿宋_GB2312"/>
          <w:sz w:val="32"/>
          <w:szCs w:val="32"/>
        </w:rPr>
        <w:t>辆，比上年增加</w:t>
      </w:r>
      <w:r>
        <w:rPr>
          <w:rFonts w:ascii="Times New Roman" w:eastAsia="仿宋_GB2312"/>
          <w:sz w:val="32"/>
          <w:szCs w:val="32"/>
        </w:rPr>
        <w:t>0</w:t>
      </w:r>
      <w:r>
        <w:rPr>
          <w:rFonts w:ascii="Times New Roman" w:eastAsia="仿宋_GB2312"/>
          <w:sz w:val="32"/>
          <w:szCs w:val="32"/>
        </w:rPr>
        <w:t>辆，主要是</w:t>
      </w:r>
      <w:r>
        <w:rPr>
          <w:rFonts w:ascii="Times New Roman" w:eastAsia="仿宋_GB2312" w:hint="eastAsia"/>
          <w:sz w:val="32"/>
          <w:szCs w:val="32"/>
        </w:rPr>
        <w:t>我单位无公务用车</w:t>
      </w:r>
      <w:r>
        <w:rPr>
          <w:rFonts w:ascii="Times New Roman" w:eastAsia="仿宋_GB2312"/>
          <w:sz w:val="32"/>
          <w:szCs w:val="32"/>
        </w:rPr>
        <w:t>。其中，副部（省）级及以上领导用车</w:t>
      </w:r>
      <w:r>
        <w:rPr>
          <w:rFonts w:ascii="Times New Roman" w:eastAsia="仿宋_GB2312"/>
          <w:sz w:val="32"/>
          <w:szCs w:val="32"/>
        </w:rPr>
        <w:t>0</w:t>
      </w:r>
      <w:r>
        <w:rPr>
          <w:rFonts w:ascii="Times New Roman" w:eastAsia="仿宋_GB2312"/>
          <w:sz w:val="32"/>
          <w:szCs w:val="32"/>
        </w:rPr>
        <w:t>辆，主要负责人用车</w:t>
      </w:r>
      <w:r>
        <w:rPr>
          <w:rFonts w:ascii="Times New Roman" w:eastAsia="仿宋_GB2312"/>
          <w:sz w:val="32"/>
          <w:szCs w:val="32"/>
        </w:rPr>
        <w:t>0</w:t>
      </w:r>
      <w:r>
        <w:rPr>
          <w:rFonts w:ascii="Times New Roman" w:eastAsia="仿宋_GB2312"/>
          <w:sz w:val="32"/>
          <w:szCs w:val="32"/>
        </w:rPr>
        <w:t>辆，机要通信用车</w:t>
      </w:r>
      <w:r>
        <w:rPr>
          <w:rFonts w:ascii="Times New Roman" w:eastAsia="仿宋_GB2312"/>
          <w:sz w:val="32"/>
          <w:szCs w:val="32"/>
        </w:rPr>
        <w:t>0</w:t>
      </w:r>
      <w:r>
        <w:rPr>
          <w:rFonts w:ascii="Times New Roman" w:eastAsia="仿宋_GB2312"/>
          <w:sz w:val="32"/>
          <w:szCs w:val="32"/>
        </w:rPr>
        <w:t>辆，应急保障用车</w:t>
      </w:r>
      <w:r>
        <w:rPr>
          <w:rFonts w:ascii="Times New Roman" w:eastAsia="仿宋_GB2312"/>
          <w:sz w:val="32"/>
          <w:szCs w:val="32"/>
        </w:rPr>
        <w:t>0</w:t>
      </w:r>
      <w:r>
        <w:rPr>
          <w:rFonts w:ascii="Times New Roman" w:eastAsia="仿宋_GB2312"/>
          <w:sz w:val="32"/>
          <w:szCs w:val="32"/>
        </w:rPr>
        <w:t>辆，执法执勤用车</w:t>
      </w:r>
      <w:r>
        <w:rPr>
          <w:rFonts w:ascii="Times New Roman" w:eastAsia="仿宋_GB2312"/>
          <w:sz w:val="32"/>
          <w:szCs w:val="32"/>
        </w:rPr>
        <w:t>0</w:t>
      </w:r>
      <w:r>
        <w:rPr>
          <w:rFonts w:ascii="Times New Roman" w:eastAsia="仿宋_GB2312"/>
          <w:sz w:val="32"/>
          <w:szCs w:val="32"/>
        </w:rPr>
        <w:t>辆，特种专业技术用车</w:t>
      </w:r>
      <w:r>
        <w:rPr>
          <w:rFonts w:ascii="Times New Roman" w:eastAsia="仿宋_GB2312"/>
          <w:sz w:val="32"/>
          <w:szCs w:val="32"/>
        </w:rPr>
        <w:t>0</w:t>
      </w:r>
      <w:r>
        <w:rPr>
          <w:rFonts w:ascii="Times New Roman" w:eastAsia="仿宋_GB2312"/>
          <w:sz w:val="32"/>
          <w:szCs w:val="32"/>
        </w:rPr>
        <w:t>辆，离退休干部用车</w:t>
      </w:r>
      <w:r>
        <w:rPr>
          <w:rFonts w:ascii="Times New Roman" w:eastAsia="仿宋_GB2312"/>
          <w:sz w:val="32"/>
          <w:szCs w:val="32"/>
        </w:rPr>
        <w:t>0</w:t>
      </w:r>
      <w:r>
        <w:rPr>
          <w:rFonts w:ascii="Times New Roman" w:eastAsia="仿宋_GB2312"/>
          <w:sz w:val="32"/>
          <w:szCs w:val="32"/>
        </w:rPr>
        <w:t>辆，其他用车</w:t>
      </w:r>
      <w:r>
        <w:rPr>
          <w:rFonts w:ascii="Times New Roman" w:eastAsia="仿宋_GB2312"/>
          <w:sz w:val="32"/>
          <w:szCs w:val="32"/>
        </w:rPr>
        <w:t>0</w:t>
      </w:r>
      <w:r>
        <w:rPr>
          <w:rFonts w:ascii="Times New Roman" w:eastAsia="仿宋_GB2312"/>
          <w:sz w:val="32"/>
          <w:szCs w:val="32"/>
        </w:rPr>
        <w:t>辆，其他用车主要是</w:t>
      </w:r>
      <w:r>
        <w:rPr>
          <w:rFonts w:ascii="Times New Roman" w:eastAsia="仿宋_GB2312" w:hint="eastAsia"/>
          <w:sz w:val="32"/>
          <w:szCs w:val="32"/>
        </w:rPr>
        <w:t>我单位无公务用车</w:t>
      </w:r>
      <w:r>
        <w:rPr>
          <w:rFonts w:ascii="Times New Roman" w:eastAsia="仿宋_GB2312"/>
          <w:sz w:val="32"/>
          <w:szCs w:val="32"/>
        </w:rPr>
        <w:t>。单位价值</w:t>
      </w:r>
      <w:r>
        <w:rPr>
          <w:rFonts w:ascii="Times New Roman" w:eastAsia="仿宋_GB2312"/>
          <w:sz w:val="32"/>
          <w:szCs w:val="32"/>
        </w:rPr>
        <w:t>100</w:t>
      </w:r>
      <w:r>
        <w:rPr>
          <w:rFonts w:ascii="Times New Roman" w:eastAsia="仿宋_GB2312"/>
          <w:sz w:val="32"/>
          <w:szCs w:val="32"/>
        </w:rPr>
        <w:t>万元（含）以上设备（不含车辆）</w:t>
      </w:r>
      <w:r>
        <w:rPr>
          <w:rFonts w:ascii="Times New Roman" w:eastAsia="仿宋_GB2312"/>
          <w:sz w:val="32"/>
          <w:szCs w:val="32"/>
        </w:rPr>
        <w:t>0</w:t>
      </w:r>
      <w:r>
        <w:rPr>
          <w:rFonts w:ascii="Times New Roman" w:eastAsia="仿宋_GB2312"/>
          <w:sz w:val="32"/>
          <w:szCs w:val="32"/>
        </w:rPr>
        <w:t>台（套）。</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九、关于</w:t>
      </w:r>
      <w:r>
        <w:rPr>
          <w:rFonts w:ascii="Times New Roman" w:eastAsia="黑体"/>
          <w:sz w:val="32"/>
          <w:szCs w:val="32"/>
        </w:rPr>
        <w:t>2024</w:t>
      </w:r>
      <w:r>
        <w:rPr>
          <w:rFonts w:ascii="Times New Roman" w:eastAsia="黑体"/>
          <w:sz w:val="32"/>
          <w:szCs w:val="32"/>
        </w:rPr>
        <w:t>年度绩效评价情况的说明</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（一）绩效评价工作开展情况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根据预算绩效管理要求，本部门组织对</w:t>
      </w:r>
      <w:r>
        <w:rPr>
          <w:rFonts w:ascii="Times New Roman" w:eastAsia="仿宋_GB2312"/>
          <w:sz w:val="32"/>
          <w:szCs w:val="32"/>
        </w:rPr>
        <w:t>2024</w:t>
      </w:r>
      <w:r>
        <w:rPr>
          <w:rFonts w:ascii="Times New Roman" w:eastAsia="仿宋_GB2312"/>
          <w:sz w:val="32"/>
          <w:szCs w:val="32"/>
        </w:rPr>
        <w:t>年度本级预算项目支出全面开展绩效自评，共涉及资金</w:t>
      </w:r>
      <w:r>
        <w:rPr>
          <w:rFonts w:ascii="Times New Roman" w:eastAsia="仿宋_GB2312" w:hint="eastAsia"/>
          <w:sz w:val="32"/>
          <w:szCs w:val="32"/>
        </w:rPr>
        <w:t>7</w:t>
      </w:r>
      <w:r>
        <w:rPr>
          <w:rFonts w:ascii="Times New Roman" w:eastAsia="仿宋_GB2312"/>
          <w:sz w:val="32"/>
          <w:szCs w:val="32"/>
        </w:rPr>
        <w:t>8.79</w:t>
      </w:r>
      <w:r>
        <w:rPr>
          <w:rFonts w:ascii="Times New Roman" w:eastAsia="仿宋_GB2312"/>
          <w:sz w:val="32"/>
          <w:szCs w:val="32"/>
        </w:rPr>
        <w:t>万元（决算金额）。其中，一般公共预算项目</w:t>
      </w:r>
      <w:r w:rsidR="00C53175">
        <w:rPr>
          <w:rFonts w:ascii="Times New Roman" w:eastAsia="仿宋_GB2312"/>
          <w:sz w:val="32"/>
          <w:szCs w:val="32"/>
        </w:rPr>
        <w:t>7</w:t>
      </w:r>
      <w:r>
        <w:rPr>
          <w:rFonts w:ascii="Times New Roman" w:eastAsia="仿宋_GB2312"/>
          <w:sz w:val="32"/>
          <w:szCs w:val="32"/>
        </w:rPr>
        <w:t>个，涉及资金</w:t>
      </w:r>
      <w:r>
        <w:rPr>
          <w:rFonts w:ascii="Times New Roman" w:eastAsia="仿宋_GB2312" w:hint="eastAsia"/>
          <w:sz w:val="32"/>
          <w:szCs w:val="32"/>
        </w:rPr>
        <w:t>7</w:t>
      </w:r>
      <w:r>
        <w:rPr>
          <w:rFonts w:ascii="Times New Roman" w:eastAsia="仿宋_GB2312"/>
          <w:sz w:val="32"/>
          <w:szCs w:val="32"/>
        </w:rPr>
        <w:t>8.79</w:t>
      </w:r>
      <w:r>
        <w:rPr>
          <w:rFonts w:ascii="Times New Roman" w:eastAsia="仿宋_GB2312"/>
          <w:sz w:val="32"/>
          <w:szCs w:val="32"/>
        </w:rPr>
        <w:t>万元，占一般公共预算项目支出总额的</w:t>
      </w:r>
      <w:r>
        <w:rPr>
          <w:rFonts w:ascii="Times New Roman" w:eastAsia="仿宋_GB2312" w:hint="eastAsia"/>
          <w:sz w:val="32"/>
          <w:szCs w:val="32"/>
        </w:rPr>
        <w:t>1</w:t>
      </w:r>
      <w:r>
        <w:rPr>
          <w:rFonts w:ascii="Times New Roman" w:eastAsia="仿宋_GB2312"/>
          <w:sz w:val="32"/>
          <w:szCs w:val="32"/>
        </w:rPr>
        <w:t>00%</w:t>
      </w:r>
      <w:r>
        <w:rPr>
          <w:rFonts w:ascii="Times New Roman" w:eastAsia="仿宋_GB2312"/>
          <w:sz w:val="32"/>
          <w:szCs w:val="32"/>
        </w:rPr>
        <w:t>；政府性基金预算项目</w:t>
      </w:r>
      <w:r>
        <w:rPr>
          <w:rFonts w:ascii="Times New Roman" w:eastAsia="仿宋_GB2312" w:hint="eastAsia"/>
          <w:sz w:val="32"/>
          <w:szCs w:val="32"/>
        </w:rPr>
        <w:t>0</w:t>
      </w:r>
      <w:r>
        <w:rPr>
          <w:rFonts w:ascii="Times New Roman" w:eastAsia="仿宋_GB2312"/>
          <w:sz w:val="32"/>
          <w:szCs w:val="32"/>
        </w:rPr>
        <w:t>个，涉及资金</w:t>
      </w:r>
      <w:r>
        <w:rPr>
          <w:rFonts w:ascii="Times New Roman" w:eastAsia="仿宋_GB2312" w:hint="eastAsia"/>
          <w:sz w:val="32"/>
          <w:szCs w:val="32"/>
        </w:rPr>
        <w:t>0</w:t>
      </w:r>
      <w:r>
        <w:rPr>
          <w:rFonts w:ascii="Times New Roman" w:eastAsia="仿宋_GB2312"/>
          <w:sz w:val="32"/>
          <w:szCs w:val="32"/>
        </w:rPr>
        <w:t>万元，占政府性基金预算项目支出总额的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；国有资本经营预算项目</w:t>
      </w:r>
      <w:r>
        <w:rPr>
          <w:rFonts w:ascii="Times New Roman" w:eastAsia="仿宋_GB2312" w:hint="eastAsia"/>
          <w:sz w:val="32"/>
          <w:szCs w:val="32"/>
        </w:rPr>
        <w:t>0</w:t>
      </w:r>
      <w:r>
        <w:rPr>
          <w:rFonts w:ascii="Times New Roman" w:eastAsia="仿宋_GB2312"/>
          <w:sz w:val="32"/>
          <w:szCs w:val="32"/>
        </w:rPr>
        <w:t>个，涉及资金</w:t>
      </w:r>
      <w:r>
        <w:rPr>
          <w:rFonts w:ascii="Times New Roman" w:eastAsia="仿宋_GB2312" w:hint="eastAsia"/>
          <w:sz w:val="32"/>
          <w:szCs w:val="32"/>
        </w:rPr>
        <w:t>0</w:t>
      </w:r>
      <w:r>
        <w:rPr>
          <w:rFonts w:ascii="Times New Roman" w:eastAsia="仿宋_GB2312"/>
          <w:sz w:val="32"/>
          <w:szCs w:val="32"/>
        </w:rPr>
        <w:t>万元，占国有资本经营预算项目支出总额的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组织对《井陉年鉴》编辑经费项目开展了重点评价，涉及一般公共预算支出</w:t>
      </w:r>
      <w:r>
        <w:rPr>
          <w:rFonts w:ascii="Times New Roman" w:eastAsia="仿宋_GB2312" w:hint="eastAsia"/>
          <w:sz w:val="32"/>
          <w:szCs w:val="32"/>
        </w:rPr>
        <w:t xml:space="preserve"> 18 </w:t>
      </w:r>
      <w:r>
        <w:rPr>
          <w:rFonts w:ascii="Times New Roman" w:eastAsia="仿宋_GB2312" w:hint="eastAsia"/>
          <w:sz w:val="32"/>
          <w:szCs w:val="32"/>
        </w:rPr>
        <w:t>万元，政府性基金预算支出</w:t>
      </w:r>
      <w:r>
        <w:rPr>
          <w:rFonts w:ascii="Times New Roman" w:eastAsia="仿宋_GB2312" w:hint="eastAsia"/>
          <w:sz w:val="32"/>
          <w:szCs w:val="32"/>
        </w:rPr>
        <w:t xml:space="preserve"> 0 </w:t>
      </w:r>
      <w:r>
        <w:rPr>
          <w:rFonts w:ascii="Times New Roman" w:eastAsia="仿宋_GB2312" w:hint="eastAsia"/>
          <w:sz w:val="32"/>
          <w:szCs w:val="32"/>
        </w:rPr>
        <w:t>万元，国有资本经营预算支出</w:t>
      </w:r>
      <w:r>
        <w:rPr>
          <w:rFonts w:ascii="Times New Roman" w:eastAsia="仿宋_GB2312" w:hint="eastAsia"/>
          <w:sz w:val="32"/>
          <w:szCs w:val="32"/>
        </w:rPr>
        <w:t xml:space="preserve"> 0</w:t>
      </w:r>
      <w:r>
        <w:rPr>
          <w:rFonts w:ascii="Times New Roman" w:eastAsia="仿宋_GB2312" w:hint="eastAsia"/>
          <w:sz w:val="32"/>
          <w:szCs w:val="32"/>
        </w:rPr>
        <w:t>万元。从评价情况来看，预算项目绩效目标完成达标，达到了年初预算项目安排的工作目标。</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（二）部门决算中项目绩效自评结果</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本单位在今年单位决算公开中反映《井陉年鉴》编辑经费项目绩效自评结果。</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《井陉年鉴》编辑经费项目绩效自评综述：根据年初设定的绩效目标，《井陉年鉴》编辑经费项目绩效自评得分为</w:t>
      </w:r>
      <w:r>
        <w:rPr>
          <w:rFonts w:ascii="Times New Roman" w:eastAsia="仿宋_GB2312" w:hint="eastAsia"/>
          <w:sz w:val="32"/>
          <w:szCs w:val="32"/>
        </w:rPr>
        <w:t xml:space="preserve"> 98 </w:t>
      </w:r>
      <w:r>
        <w:rPr>
          <w:rFonts w:ascii="Times New Roman" w:eastAsia="仿宋_GB2312" w:hint="eastAsia"/>
          <w:sz w:val="32"/>
          <w:szCs w:val="32"/>
        </w:rPr>
        <w:t>分（绩效自评表附后）。全年预算数为</w:t>
      </w:r>
      <w:r>
        <w:rPr>
          <w:rFonts w:ascii="Times New Roman" w:eastAsia="仿宋_GB2312" w:hint="eastAsia"/>
          <w:sz w:val="32"/>
          <w:szCs w:val="32"/>
        </w:rPr>
        <w:t xml:space="preserve"> 18 </w:t>
      </w:r>
      <w:r>
        <w:rPr>
          <w:rFonts w:ascii="Times New Roman" w:eastAsia="仿宋_GB2312" w:hint="eastAsia"/>
          <w:sz w:val="32"/>
          <w:szCs w:val="32"/>
        </w:rPr>
        <w:t>万元，执行数为</w:t>
      </w:r>
      <w:r>
        <w:rPr>
          <w:rFonts w:ascii="Times New Roman" w:eastAsia="仿宋_GB2312" w:hint="eastAsia"/>
          <w:sz w:val="32"/>
          <w:szCs w:val="32"/>
        </w:rPr>
        <w:t xml:space="preserve"> 18 </w:t>
      </w:r>
      <w:r>
        <w:rPr>
          <w:rFonts w:ascii="Times New Roman" w:eastAsia="仿宋_GB2312" w:hint="eastAsia"/>
          <w:sz w:val="32"/>
          <w:szCs w:val="32"/>
        </w:rPr>
        <w:t>万元，完成预算的</w:t>
      </w:r>
      <w:r>
        <w:rPr>
          <w:rFonts w:ascii="Times New Roman" w:eastAsia="仿宋_GB2312" w:hint="eastAsia"/>
          <w:sz w:val="32"/>
          <w:szCs w:val="32"/>
        </w:rPr>
        <w:t xml:space="preserve"> 100%</w:t>
      </w:r>
      <w:r>
        <w:rPr>
          <w:rFonts w:ascii="Times New Roman" w:eastAsia="仿宋_GB2312" w:hint="eastAsia"/>
          <w:sz w:val="32"/>
          <w:szCs w:val="32"/>
        </w:rPr>
        <w:t>。项目绩效目标完成情况：一是《井陉年鉴》（</w:t>
      </w:r>
      <w:r>
        <w:rPr>
          <w:rFonts w:ascii="Times New Roman" w:eastAsia="仿宋_GB2312" w:hint="eastAsia"/>
          <w:sz w:val="32"/>
          <w:szCs w:val="32"/>
        </w:rPr>
        <w:t>202</w:t>
      </w:r>
      <w:r>
        <w:rPr>
          <w:rFonts w:ascii="Times New Roman" w:eastAsia="仿宋_GB2312"/>
          <w:sz w:val="32"/>
          <w:szCs w:val="32"/>
        </w:rPr>
        <w:t>3</w:t>
      </w:r>
      <w:r>
        <w:rPr>
          <w:rFonts w:ascii="Times New Roman" w:eastAsia="仿宋_GB2312" w:hint="eastAsia"/>
          <w:sz w:val="32"/>
          <w:szCs w:val="32"/>
        </w:rPr>
        <w:t>）卷公开出版；二是年鉴印刷推行和达到新标准。差错率</w:t>
      </w:r>
      <w:r>
        <w:rPr>
          <w:rFonts w:ascii="Times New Roman" w:eastAsia="仿宋_GB2312" w:hint="eastAsia"/>
          <w:sz w:val="32"/>
          <w:szCs w:val="32"/>
        </w:rPr>
        <w:lastRenderedPageBreak/>
        <w:t>不超过百分之一，留白不超过页面五分之一。发现的主要问题及原因：一是各单位编撰人员不固定，不能按时供稿。二是编撰人员水平参差不齐，供稿质量不够。下一步整改措施：一是要求各单位尽可能固定编撰人员，二是加强对编撰人员的培训，提高供稿质量。</w:t>
      </w:r>
    </w:p>
    <w:p w:rsidR="00C37854" w:rsidRPr="00EC3DE0" w:rsidRDefault="00E00414">
      <w:pPr>
        <w:widowControl/>
        <w:spacing w:line="360" w:lineRule="auto"/>
        <w:jc w:val="center"/>
        <w:rPr>
          <w:rFonts w:ascii="黑体" w:eastAsia="黑体" w:hAnsi="黑体"/>
          <w:sz w:val="36"/>
          <w:szCs w:val="36"/>
        </w:rPr>
      </w:pPr>
      <w:r w:rsidRPr="00EC3DE0">
        <w:rPr>
          <w:rFonts w:ascii="黑体" w:eastAsia="黑体" w:hAnsi="黑体" w:hint="eastAsia"/>
          <w:sz w:val="36"/>
          <w:szCs w:val="36"/>
        </w:rPr>
        <w:t>单位专项项目绩效自评表</w:t>
      </w:r>
    </w:p>
    <w:p w:rsidR="00C37854" w:rsidRPr="00EC3DE0" w:rsidRDefault="00E00414">
      <w:pPr>
        <w:widowControl/>
        <w:spacing w:line="360" w:lineRule="auto"/>
        <w:jc w:val="center"/>
        <w:rPr>
          <w:rFonts w:ascii="黑体" w:eastAsia="黑体" w:hAnsi="黑体"/>
          <w:sz w:val="36"/>
          <w:szCs w:val="36"/>
        </w:rPr>
      </w:pPr>
      <w:r w:rsidRPr="00EC3DE0">
        <w:rPr>
          <w:rFonts w:ascii="黑体" w:eastAsia="黑体" w:hAnsi="黑体" w:hint="eastAsia"/>
          <w:sz w:val="36"/>
          <w:szCs w:val="36"/>
        </w:rPr>
        <w:t>（</w:t>
      </w:r>
      <w:r w:rsidRPr="00EC3DE0">
        <w:rPr>
          <w:rFonts w:ascii="黑体" w:eastAsia="黑体" w:hAnsi="黑体"/>
          <w:sz w:val="36"/>
          <w:szCs w:val="36"/>
        </w:rPr>
        <w:t>2024</w:t>
      </w:r>
      <w:r w:rsidRPr="00EC3DE0">
        <w:rPr>
          <w:rFonts w:ascii="黑体" w:eastAsia="黑体" w:hAnsi="黑体" w:hint="eastAsia"/>
          <w:sz w:val="36"/>
          <w:szCs w:val="36"/>
        </w:rPr>
        <w:t>年度）</w:t>
      </w:r>
    </w:p>
    <w:tbl>
      <w:tblPr>
        <w:tblW w:w="9544" w:type="dxa"/>
        <w:tblInd w:w="108" w:type="dxa"/>
        <w:tblLook w:val="04A0" w:firstRow="1" w:lastRow="0" w:firstColumn="1" w:lastColumn="0" w:noHBand="0" w:noVBand="1"/>
      </w:tblPr>
      <w:tblGrid>
        <w:gridCol w:w="1156"/>
        <w:gridCol w:w="1009"/>
        <w:gridCol w:w="1009"/>
        <w:gridCol w:w="1241"/>
        <w:gridCol w:w="1349"/>
        <w:gridCol w:w="960"/>
        <w:gridCol w:w="960"/>
        <w:gridCol w:w="1860"/>
      </w:tblGrid>
      <w:tr w:rsidR="00EC3DE0" w:rsidRPr="00EC3DE0" w:rsidTr="00EC3DE0">
        <w:trPr>
          <w:trHeight w:val="408"/>
        </w:trPr>
        <w:tc>
          <w:tcPr>
            <w:tcW w:w="1156" w:type="dxa"/>
            <w:tcBorders>
              <w:top w:val="nil"/>
              <w:left w:val="nil"/>
              <w:bottom w:val="nil"/>
              <w:right w:val="nil"/>
            </w:tcBorders>
            <w:shd w:val="clear" w:color="auto" w:fill="auto"/>
            <w:noWrap/>
            <w:vAlign w:val="bottom"/>
            <w:hideMark/>
          </w:tcPr>
          <w:p w:rsidR="00EC3DE0" w:rsidRPr="00EC3DE0" w:rsidRDefault="00EC3DE0" w:rsidP="00EC3DE0">
            <w:pPr>
              <w:widowControl/>
              <w:jc w:val="left"/>
              <w:rPr>
                <w:rFonts w:ascii="仿宋_GB2312" w:eastAsia="仿宋_GB2312" w:hAnsi="宋体"/>
                <w:color w:val="000000"/>
                <w:sz w:val="32"/>
                <w:szCs w:val="32"/>
              </w:rPr>
            </w:pPr>
            <w:r w:rsidRPr="00EC3DE0">
              <w:rPr>
                <w:rFonts w:ascii="仿宋_GB2312" w:eastAsia="仿宋_GB2312" w:hAnsi="宋体" w:hint="eastAsia"/>
                <w:color w:val="000000"/>
                <w:sz w:val="32"/>
                <w:szCs w:val="32"/>
              </w:rPr>
              <w:t>附件1</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仿宋_GB2312" w:eastAsia="仿宋_GB2312" w:hAnsi="宋体"/>
                <w:color w:val="000000"/>
                <w:sz w:val="32"/>
                <w:szCs w:val="32"/>
              </w:rPr>
            </w:pP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241"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r>
      <w:tr w:rsidR="00EC3DE0" w:rsidRPr="00EC3DE0" w:rsidTr="00EC3DE0">
        <w:trPr>
          <w:trHeight w:val="516"/>
        </w:trPr>
        <w:tc>
          <w:tcPr>
            <w:tcW w:w="9544" w:type="dxa"/>
            <w:gridSpan w:val="8"/>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方正小标宋_GBK" w:eastAsia="方正小标宋_GBK" w:hAnsi="方正小标宋_GBK"/>
                <w:color w:val="000000"/>
                <w:sz w:val="32"/>
                <w:szCs w:val="32"/>
              </w:rPr>
            </w:pPr>
            <w:r w:rsidRPr="00EC3DE0">
              <w:rPr>
                <w:rFonts w:ascii="仿宋" w:eastAsia="仿宋" w:hAnsi="仿宋" w:hint="eastAsia"/>
                <w:color w:val="000000"/>
                <w:sz w:val="32"/>
                <w:szCs w:val="32"/>
              </w:rPr>
              <w:t>部门</w:t>
            </w:r>
            <w:r w:rsidRPr="00EC3DE0">
              <w:rPr>
                <w:rFonts w:ascii="宋体" w:eastAsia="宋体" w:hAnsi="宋体" w:hint="eastAsia"/>
                <w:color w:val="000000"/>
                <w:sz w:val="32"/>
                <w:szCs w:val="32"/>
              </w:rPr>
              <w:t>专项项目绩效自评表</w:t>
            </w:r>
          </w:p>
        </w:tc>
      </w:tr>
      <w:tr w:rsidR="00EC3DE0" w:rsidRPr="00EC3DE0" w:rsidTr="00EC3DE0">
        <w:trPr>
          <w:trHeight w:val="300"/>
        </w:trPr>
        <w:tc>
          <w:tcPr>
            <w:tcW w:w="9544" w:type="dxa"/>
            <w:gridSpan w:val="8"/>
            <w:tcBorders>
              <w:top w:val="nil"/>
              <w:left w:val="nil"/>
              <w:bottom w:val="nil"/>
              <w:right w:val="nil"/>
            </w:tcBorders>
            <w:shd w:val="clear" w:color="auto" w:fill="auto"/>
            <w:noWrap/>
            <w:vAlign w:val="bottom"/>
            <w:hideMark/>
          </w:tcPr>
          <w:p w:rsidR="00EC3DE0" w:rsidRPr="00EC3DE0" w:rsidRDefault="00EC3DE0" w:rsidP="00EC3DE0">
            <w:pPr>
              <w:widowControl/>
              <w:jc w:val="center"/>
              <w:rPr>
                <w:rFonts w:ascii="宋体" w:eastAsia="宋体" w:hAnsi="宋体"/>
                <w:color w:val="000000"/>
                <w:sz w:val="20"/>
                <w:szCs w:val="20"/>
              </w:rPr>
            </w:pPr>
            <w:r w:rsidRPr="00EC3DE0">
              <w:rPr>
                <w:rFonts w:ascii="宋体" w:eastAsia="宋体" w:hAnsi="宋体" w:hint="eastAsia"/>
                <w:color w:val="000000"/>
                <w:sz w:val="20"/>
                <w:szCs w:val="20"/>
              </w:rPr>
              <w:t>（2024年度）</w:t>
            </w:r>
          </w:p>
        </w:tc>
      </w:tr>
      <w:tr w:rsidR="00EC3DE0" w:rsidRPr="00EC3DE0" w:rsidTr="00EC3DE0">
        <w:trPr>
          <w:trHeight w:val="360"/>
        </w:trPr>
        <w:tc>
          <w:tcPr>
            <w:tcW w:w="4415" w:type="dxa"/>
            <w:gridSpan w:val="4"/>
            <w:tcBorders>
              <w:top w:val="nil"/>
              <w:left w:val="nil"/>
              <w:bottom w:val="single" w:sz="4" w:space="0" w:color="000000"/>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填报单位：井陉县档案馆（中共井陉县委党史县志研究中心）</w:t>
            </w: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金额单位：万元</w:t>
            </w:r>
          </w:p>
        </w:tc>
      </w:tr>
      <w:tr w:rsidR="00EC3DE0" w:rsidRPr="00EC3DE0" w:rsidTr="00EC3DE0">
        <w:trPr>
          <w:trHeight w:val="495"/>
        </w:trPr>
        <w:tc>
          <w:tcPr>
            <w:tcW w:w="1156" w:type="dxa"/>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一、</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基本情况</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项目名称</w:t>
            </w:r>
          </w:p>
        </w:tc>
        <w:tc>
          <w:tcPr>
            <w:tcW w:w="225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《井陉年鉴》编辑</w:t>
            </w:r>
          </w:p>
        </w:tc>
        <w:tc>
          <w:tcPr>
            <w:tcW w:w="1349" w:type="dxa"/>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实施(主管）单位</w:t>
            </w:r>
          </w:p>
        </w:tc>
        <w:tc>
          <w:tcPr>
            <w:tcW w:w="3780"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井陉县档案馆（中共井陉县委党史县志研究中心）</w:t>
            </w:r>
          </w:p>
        </w:tc>
      </w:tr>
      <w:tr w:rsidR="00EC3DE0" w:rsidRPr="00EC3DE0" w:rsidTr="00EC3DE0">
        <w:trPr>
          <w:trHeight w:val="288"/>
        </w:trPr>
        <w:tc>
          <w:tcPr>
            <w:tcW w:w="115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二、预算执行情况</w:t>
            </w:r>
          </w:p>
        </w:tc>
        <w:tc>
          <w:tcPr>
            <w:tcW w:w="2018"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预算安排情况（调整后）</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资金到位情况</w:t>
            </w:r>
          </w:p>
        </w:tc>
        <w:tc>
          <w:tcPr>
            <w:tcW w:w="192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资金执行情况</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预算执行进度</w:t>
            </w:r>
          </w:p>
        </w:tc>
      </w:tr>
      <w:tr w:rsidR="00EC3DE0" w:rsidRPr="00EC3DE0" w:rsidTr="00EC3DE0">
        <w:trPr>
          <w:trHeight w:val="288"/>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预算数：</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18</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到位数：</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执行数：</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Calibri" w:eastAsia="宋体" w:hAnsi="Calibri" w:cs="Calibri"/>
                <w:color w:val="000000"/>
                <w:sz w:val="21"/>
                <w:szCs w:val="21"/>
              </w:rPr>
            </w:pPr>
            <w:r w:rsidRPr="00EC3DE0">
              <w:rPr>
                <w:rFonts w:ascii="Calibri" w:eastAsia="宋体" w:hAnsi="Calibri" w:cs="Calibri"/>
                <w:color w:val="000000"/>
                <w:sz w:val="21"/>
                <w:szCs w:val="21"/>
              </w:rPr>
              <w:t>15.3</w:t>
            </w:r>
          </w:p>
        </w:tc>
        <w:tc>
          <w:tcPr>
            <w:tcW w:w="18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r>
      <w:tr w:rsidR="00EC3DE0" w:rsidRPr="00EC3DE0" w:rsidTr="00EC3DE0">
        <w:trPr>
          <w:trHeight w:val="462"/>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88"/>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Calibri" w:eastAsia="宋体" w:hAnsi="Calibri" w:cs="Calibri"/>
                <w:color w:val="000000"/>
                <w:sz w:val="21"/>
                <w:szCs w:val="21"/>
              </w:rPr>
            </w:pPr>
            <w:r w:rsidRPr="00EC3DE0">
              <w:rPr>
                <w:rFonts w:ascii="Calibri" w:eastAsia="宋体" w:hAnsi="Calibri" w:cs="Calibri"/>
                <w:color w:val="000000"/>
                <w:sz w:val="21"/>
                <w:szCs w:val="21"/>
              </w:rPr>
              <w:t xml:space="preserve">　</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88"/>
        </w:trPr>
        <w:tc>
          <w:tcPr>
            <w:tcW w:w="115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三、目标完成情况</w:t>
            </w:r>
          </w:p>
        </w:tc>
        <w:tc>
          <w:tcPr>
            <w:tcW w:w="3259"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年度预期目标</w:t>
            </w:r>
          </w:p>
        </w:tc>
        <w:tc>
          <w:tcPr>
            <w:tcW w:w="3269"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具体完成情况</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总体完成率</w:t>
            </w: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1、编辑《井陉年鉴》（2022）卷            2、《井陉年鉴》公开出版  </w:t>
            </w:r>
          </w:p>
        </w:tc>
        <w:tc>
          <w:tcPr>
            <w:tcW w:w="326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1、编辑《井陉年鉴》（2022）卷            2、《井陉年鉴》公开出版  </w:t>
            </w:r>
          </w:p>
        </w:tc>
        <w:tc>
          <w:tcPr>
            <w:tcW w:w="18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6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6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70"/>
        </w:trPr>
        <w:tc>
          <w:tcPr>
            <w:tcW w:w="1156" w:type="dxa"/>
            <w:vMerge w:val="restart"/>
            <w:tcBorders>
              <w:top w:val="nil"/>
              <w:left w:val="single" w:sz="4" w:space="0" w:color="auto"/>
              <w:bottom w:val="single" w:sz="4" w:space="0" w:color="000000"/>
              <w:right w:val="nil"/>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四、</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年度绩效指标完成情况</w:t>
            </w:r>
          </w:p>
        </w:tc>
        <w:tc>
          <w:tcPr>
            <w:tcW w:w="1009" w:type="dxa"/>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一级指标</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二级指标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三级指标</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预期指标值</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实际完成值</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自评得分</w:t>
            </w:r>
          </w:p>
        </w:tc>
      </w:tr>
      <w:tr w:rsidR="00EC3DE0" w:rsidRPr="00EC3DE0" w:rsidTr="00EC3DE0">
        <w:trPr>
          <w:trHeight w:val="642"/>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产出指标（40）</w:t>
            </w: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数量指标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《井陉年鉴》初稿完成</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三校稿完成</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《井陉年鉴》公开出版1000册</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质量指标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与出版社联系，购买书号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与印刷厂联系排版</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印刷图书1000册</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时效指标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按时完成办理书号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按时完成《井陉年鉴》初稿</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95%</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2</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按时完成三校稿的校对</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95%</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成本指标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702"/>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预算执行率指标</w:t>
            </w:r>
            <w:r w:rsidRPr="00EC3DE0">
              <w:rPr>
                <w:rFonts w:ascii="宋体" w:eastAsia="宋体" w:hAnsi="宋体" w:hint="eastAsia"/>
                <w:color w:val="000000"/>
                <w:sz w:val="16"/>
                <w:szCs w:val="16"/>
              </w:rPr>
              <w:br/>
              <w:t>（10分）</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效益指标（40）</w:t>
            </w: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经济效益指标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000000"/>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社会效益指标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生态效益指标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可持续影响指标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8"/>
                <w:szCs w:val="18"/>
              </w:rPr>
            </w:pPr>
            <w:r w:rsidRPr="00EC3DE0">
              <w:rPr>
                <w:rFonts w:ascii="宋体" w:eastAsia="宋体" w:hAnsi="宋体" w:hint="eastAsia"/>
                <w:color w:val="000000"/>
                <w:sz w:val="18"/>
                <w:szCs w:val="18"/>
              </w:rPr>
              <w:t>图书1000册印刷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满意度指标</w:t>
            </w:r>
            <w:r w:rsidRPr="00EC3DE0">
              <w:rPr>
                <w:rFonts w:ascii="宋体" w:eastAsia="宋体" w:hAnsi="宋体" w:hint="eastAsia"/>
                <w:color w:val="000000"/>
                <w:sz w:val="16"/>
                <w:szCs w:val="16"/>
              </w:rPr>
              <w:br/>
              <w:t>（10分）</w:t>
            </w: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满意度指标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8"/>
                <w:szCs w:val="18"/>
              </w:rPr>
            </w:pPr>
            <w:r w:rsidRPr="00EC3DE0">
              <w:rPr>
                <w:rFonts w:ascii="宋体" w:eastAsia="宋体" w:hAnsi="宋体" w:hint="eastAsia"/>
                <w:color w:val="000000"/>
                <w:sz w:val="18"/>
                <w:szCs w:val="18"/>
              </w:rPr>
              <w:t>图书1000册印刷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652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总分</w:t>
            </w:r>
          </w:p>
        </w:tc>
        <w:tc>
          <w:tcPr>
            <w:tcW w:w="1860" w:type="dxa"/>
            <w:tcBorders>
              <w:top w:val="nil"/>
              <w:left w:val="nil"/>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Calibri" w:eastAsia="宋体" w:hAnsi="Calibri" w:cs="Calibri"/>
                <w:color w:val="000000"/>
                <w:sz w:val="21"/>
                <w:szCs w:val="21"/>
              </w:rPr>
            </w:pPr>
            <w:r w:rsidRPr="00EC3DE0">
              <w:rPr>
                <w:rFonts w:ascii="Calibri" w:eastAsia="宋体" w:hAnsi="Calibri" w:cs="Calibri"/>
                <w:color w:val="000000"/>
                <w:sz w:val="21"/>
                <w:szCs w:val="21"/>
              </w:rPr>
              <w:t>98</w:t>
            </w:r>
          </w:p>
        </w:tc>
      </w:tr>
      <w:tr w:rsidR="00EC3DE0" w:rsidRPr="00EC3DE0" w:rsidTr="00EC3DE0">
        <w:trPr>
          <w:trHeight w:val="735"/>
        </w:trPr>
        <w:tc>
          <w:tcPr>
            <w:tcW w:w="1156" w:type="dxa"/>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五、</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存在问题、原因及下一步整改措施</w:t>
            </w:r>
          </w:p>
        </w:tc>
        <w:tc>
          <w:tcPr>
            <w:tcW w:w="8388" w:type="dxa"/>
            <w:gridSpan w:val="7"/>
            <w:tcBorders>
              <w:top w:val="single" w:sz="4" w:space="0" w:color="auto"/>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1.各单位编撰人员不固定，不能按时供稿。</w:t>
            </w:r>
            <w:r w:rsidRPr="00EC3DE0">
              <w:rPr>
                <w:rFonts w:ascii="宋体" w:eastAsia="宋体" w:hAnsi="宋体" w:hint="eastAsia"/>
                <w:color w:val="000000"/>
                <w:sz w:val="16"/>
                <w:szCs w:val="16"/>
              </w:rPr>
              <w:br/>
              <w:t>2.编撰人员水平参差不齐，供稿质量不够。</w:t>
            </w:r>
          </w:p>
        </w:tc>
      </w:tr>
      <w:tr w:rsidR="00EC3DE0" w:rsidRPr="00EC3DE0" w:rsidTr="00EC3DE0">
        <w:trPr>
          <w:trHeight w:val="225"/>
        </w:trPr>
        <w:tc>
          <w:tcPr>
            <w:tcW w:w="1156"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填报人：</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樊伟丽</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p>
        </w:tc>
        <w:tc>
          <w:tcPr>
            <w:tcW w:w="1241"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联系电话：</w:t>
            </w: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82022273</w:t>
            </w:r>
          </w:p>
        </w:tc>
      </w:tr>
    </w:tbl>
    <w:p w:rsidR="00C37854" w:rsidRDefault="00C37854">
      <w:pPr>
        <w:widowControl/>
        <w:spacing w:line="360" w:lineRule="auto"/>
        <w:jc w:val="center"/>
        <w:rPr>
          <w:rFonts w:ascii="黑体" w:eastAsia="黑体" w:hAnsi="黑体"/>
          <w:sz w:val="36"/>
          <w:szCs w:val="36"/>
        </w:rPr>
      </w:pPr>
    </w:p>
    <w:p w:rsidR="00EC3DE0" w:rsidRDefault="00EC3DE0">
      <w:pPr>
        <w:widowControl/>
        <w:spacing w:line="360" w:lineRule="auto"/>
        <w:jc w:val="center"/>
        <w:rPr>
          <w:rFonts w:ascii="黑体" w:eastAsia="黑体" w:hAnsi="黑体"/>
          <w:sz w:val="36"/>
          <w:szCs w:val="36"/>
        </w:rPr>
      </w:pPr>
    </w:p>
    <w:p w:rsidR="00C37854" w:rsidRDefault="00E00414">
      <w:pPr>
        <w:widowControl/>
        <w:spacing w:line="360" w:lineRule="auto"/>
        <w:ind w:firstLineChars="200" w:firstLine="641"/>
        <w:jc w:val="left"/>
        <w:rPr>
          <w:rFonts w:ascii="Times New Roman" w:eastAsia="仿宋_GB2312"/>
          <w:b/>
          <w:sz w:val="32"/>
          <w:szCs w:val="32"/>
        </w:rPr>
      </w:pPr>
      <w:r>
        <w:rPr>
          <w:rFonts w:ascii="Times New Roman" w:eastAsia="仿宋_GB2312"/>
          <w:b/>
          <w:sz w:val="32"/>
          <w:szCs w:val="32"/>
        </w:rPr>
        <w:t>（三）部门评价项目绩效评价结果（如有）</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我单位无财政评价项目。</w:t>
      </w:r>
    </w:p>
    <w:p w:rsidR="00C37854" w:rsidRDefault="00E00414">
      <w:pPr>
        <w:widowControl/>
        <w:spacing w:line="360" w:lineRule="auto"/>
        <w:ind w:firstLineChars="200" w:firstLine="640"/>
        <w:jc w:val="left"/>
        <w:rPr>
          <w:rFonts w:ascii="Times New Roman" w:eastAsia="黑体"/>
          <w:sz w:val="32"/>
          <w:szCs w:val="32"/>
        </w:rPr>
      </w:pPr>
      <w:r>
        <w:rPr>
          <w:rFonts w:ascii="Times New Roman" w:eastAsia="黑体"/>
          <w:sz w:val="32"/>
          <w:szCs w:val="32"/>
        </w:rPr>
        <w:t>十、其他需要说明的情况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1.</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年度政府性基金预算财政拨款收入支出决算表（公开</w:t>
      </w:r>
      <w:r>
        <w:rPr>
          <w:rFonts w:ascii="Times New Roman" w:eastAsia="仿宋_GB2312"/>
          <w:sz w:val="32"/>
          <w:szCs w:val="32"/>
        </w:rPr>
        <w:t>07</w:t>
      </w:r>
      <w:r>
        <w:rPr>
          <w:rFonts w:ascii="Times New Roman" w:eastAsia="仿宋_GB2312"/>
          <w:sz w:val="32"/>
          <w:szCs w:val="32"/>
        </w:rPr>
        <w:t>表）、国有资本经营预算财政拨款支出决算表（公开</w:t>
      </w:r>
      <w:r>
        <w:rPr>
          <w:rFonts w:ascii="Times New Roman" w:eastAsia="仿宋_GB2312"/>
          <w:sz w:val="32"/>
          <w:szCs w:val="32"/>
        </w:rPr>
        <w:t>08</w:t>
      </w:r>
      <w:r>
        <w:rPr>
          <w:rFonts w:ascii="Times New Roman" w:eastAsia="仿宋_GB2312"/>
          <w:sz w:val="32"/>
          <w:szCs w:val="32"/>
        </w:rPr>
        <w:t>表）、财政拨款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经费支出决算表（公开</w:t>
      </w:r>
      <w:r>
        <w:rPr>
          <w:rFonts w:ascii="Times New Roman" w:eastAsia="仿宋_GB2312"/>
          <w:sz w:val="32"/>
          <w:szCs w:val="32"/>
        </w:rPr>
        <w:t>09</w:t>
      </w:r>
      <w:r>
        <w:rPr>
          <w:rFonts w:ascii="Times New Roman" w:eastAsia="仿宋_GB2312"/>
          <w:sz w:val="32"/>
          <w:szCs w:val="32"/>
        </w:rPr>
        <w:t>表）无相应收支，故空表列示。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由于决算公开表格中金额数值应当保留两位小数，公开数据为四舍五入计算结果，个别数据合计项与分项之和存在小数点后差额，特此说明。</w:t>
      </w:r>
    </w:p>
    <w:p w:rsidR="00C37854" w:rsidRDefault="00E00414">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第四部分</w:t>
      </w:r>
      <w:r>
        <w:rPr>
          <w:rFonts w:ascii="Times New Roman" w:eastAsia="黑体"/>
          <w:sz w:val="44"/>
          <w:szCs w:val="44"/>
        </w:rPr>
        <w:t xml:space="preserve"> </w:t>
      </w:r>
      <w:r>
        <w:rPr>
          <w:rFonts w:ascii="Times New Roman" w:eastAsia="黑体"/>
          <w:sz w:val="44"/>
          <w:szCs w:val="44"/>
        </w:rPr>
        <w:t>名词解释</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lastRenderedPageBreak/>
        <w:t>九、基本支出：</w:t>
      </w:r>
      <w:r>
        <w:rPr>
          <w:rFonts w:ascii="Times New Roman" w:eastAsia="仿宋_GB2312"/>
          <w:sz w:val="32"/>
          <w:szCs w:val="32"/>
        </w:rPr>
        <w:t>指为保障机构正常运转、完成日常工作任务而发生的人员支出和公用支出。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sz w:val="32"/>
          <w:szCs w:val="32"/>
        </w:rPr>
        <w:t xml:space="preserve"> </w:t>
      </w:r>
      <w:r>
        <w:rPr>
          <w:rFonts w:ascii="Times New Roman" w:eastAsia="仿宋_GB2312"/>
          <w:b/>
          <w:sz w:val="32"/>
          <w:szCs w:val="32"/>
        </w:rPr>
        <w:t>：</w:t>
      </w:r>
      <w:r>
        <w:rPr>
          <w:rFonts w:ascii="Times New Roman" w:eastAsia="仿宋_GB2312"/>
          <w:sz w:val="32"/>
          <w:szCs w:val="32"/>
        </w:rPr>
        <w:t>指事业单位在专业业务活动及其辅助活动之外开展非独立核算经营活动发生的支出。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十四、</w:t>
      </w:r>
      <w:r>
        <w:rPr>
          <w:rFonts w:ascii="Times New Roman" w:eastAsia="仿宋_GB2312"/>
          <w:b/>
          <w:sz w:val="32"/>
          <w:szCs w:val="32"/>
        </w:rPr>
        <w:t>“</w:t>
      </w:r>
      <w:r>
        <w:rPr>
          <w:rFonts w:ascii="Times New Roman" w:eastAsia="仿宋_GB2312"/>
          <w:b/>
          <w:sz w:val="32"/>
          <w:szCs w:val="32"/>
        </w:rPr>
        <w:t>三公</w:t>
      </w:r>
      <w:r>
        <w:rPr>
          <w:rFonts w:ascii="Times New Roman" w:eastAsia="仿宋_GB2312"/>
          <w:b/>
          <w:sz w:val="32"/>
          <w:szCs w:val="32"/>
        </w:rPr>
        <w:t>”</w:t>
      </w:r>
      <w:r>
        <w:rPr>
          <w:rFonts w:ascii="Times New Roman" w:eastAsia="仿宋_GB2312"/>
          <w:b/>
          <w:sz w:val="32"/>
          <w:szCs w:val="32"/>
        </w:rPr>
        <w:t>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w:t>
      </w:r>
      <w:r>
        <w:rPr>
          <w:rFonts w:ascii="Times New Roman" w:eastAsia="仿宋_GB2312"/>
          <w:sz w:val="32"/>
          <w:szCs w:val="32"/>
        </w:rPr>
        <w:lastRenderedPageBreak/>
        <w:t>反映单位公务用车购置支出（含车辆购置税、牌照费）及按规定保留的公务用车燃料费、维修费、过桥过路费、保险费、安全奖励费用等支出；公务接待费反映单位按规定开支的各类公务接待（含外宾接待）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C37854">
      <w:footerReference w:type="default" r:id="rId24"/>
      <w:pgSz w:w="11906" w:h="16838"/>
      <w:pgMar w:top="2098" w:right="1417" w:bottom="1871" w:left="1417" w:header="851" w:footer="992" w:gutter="0"/>
      <w:pgNumType w:start="1"/>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390" w:rsidRDefault="00F61390">
      <w:r>
        <w:separator/>
      </w:r>
    </w:p>
  </w:endnote>
  <w:endnote w:type="continuationSeparator" w:id="0">
    <w:p w:rsidR="00F61390" w:rsidRDefault="00F613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AC9F9BEF-6775-49F9-B91D-7F6965396688}"/>
    <w:embedBold r:id="rId2" w:subsetted="1" w:fontKey="{606694D3-56A6-405A-A82A-89670D3F0E0B}"/>
  </w:font>
  <w:font w:name="仿宋">
    <w:panose1 w:val="02010609060101010101"/>
    <w:charset w:val="86"/>
    <w:family w:val="modern"/>
    <w:pitch w:val="fixed"/>
    <w:sig w:usb0="800002BF" w:usb1="38CF7CFA" w:usb2="00000016" w:usb3="00000000" w:csb0="00040001" w:csb1="00000000"/>
    <w:embedRegular r:id="rId3" w:subsetted="1" w:fontKey="{6C74D4C9-CE25-40F1-A2EF-8976878F78EA}"/>
  </w:font>
  <w:font w:name="Calibri Light">
    <w:panose1 w:val="020F0302020204030204"/>
    <w:charset w:val="00"/>
    <w:family w:val="swiss"/>
    <w:pitch w:val="variable"/>
    <w:sig w:usb0="E4002EFF" w:usb1="C000247B" w:usb2="00000009" w:usb3="00000000" w:csb0="000001FF" w:csb1="00000000"/>
  </w:font>
  <w:font w:name="华文中宋">
    <w:altName w:val="汉仪中黑 197"/>
    <w:charset w:val="86"/>
    <w:family w:val="auto"/>
    <w:pitch w:val="default"/>
    <w:sig w:usb0="00000000" w:usb1="00000000" w:usb2="00000000" w:usb3="00000000" w:csb0="0004009F" w:csb1="DFD70000"/>
  </w:font>
  <w:font w:name="楷体_GB2312">
    <w:altName w:val="楷体"/>
    <w:charset w:val="86"/>
    <w:family w:val="auto"/>
    <w:pitch w:val="default"/>
    <w:sig w:usb0="00000000" w:usb1="00000000" w:usb2="00000000" w:usb3="00000000" w:csb0="00040000" w:csb1="00000000"/>
    <w:embedRegular r:id="rId4" w:subsetted="1" w:fontKey="{AF84EC4B-578A-4BFB-9BF7-BFD8A53F5F00}"/>
    <w:embedBold r:id="rId5" w:subsetted="1" w:fontKey="{A2919BDE-70D8-446B-A3E0-3BDE78EB39A7}"/>
  </w:font>
  <w:font w:name="方正小标宋_GBK">
    <w:altName w:val="Microsoft YaHei UI"/>
    <w:charset w:val="86"/>
    <w:family w:val="script"/>
    <w:pitch w:val="default"/>
    <w:sig w:usb0="A00002BF" w:usb1="38CF7CFA" w:usb2="00082016" w:usb3="00000000" w:csb0="00040001" w:csb1="00000000"/>
    <w:embedRegular r:id="rId6" w:subsetted="1" w:fontKey="{7C28250C-FCC6-4F45-8449-0D388EEF9131}"/>
    <w:embedBold r:id="rId7" w:subsetted="1" w:fontKey="{E4368D7A-4AD2-4539-A608-00F2D25823EA}"/>
  </w:font>
  <w:font w:name="黑体">
    <w:altName w:val="SimHei"/>
    <w:panose1 w:val="02010609060101010101"/>
    <w:charset w:val="86"/>
    <w:family w:val="modern"/>
    <w:pitch w:val="fixed"/>
    <w:sig w:usb0="800002BF" w:usb1="38CF7CFA" w:usb2="00000016" w:usb3="00000000" w:csb0="00040001" w:csb1="00000000"/>
    <w:embedRegular r:id="rId8" w:subsetted="1" w:fontKey="{FD819AD6-6D22-40C2-8BCC-4FDCF668F9EB}"/>
  </w:font>
  <w:font w:name="仿宋_GB2312">
    <w:altName w:val="仿宋"/>
    <w:charset w:val="86"/>
    <w:family w:val="modern"/>
    <w:pitch w:val="default"/>
    <w:sig w:usb0="00000000" w:usb1="00000000" w:usb2="00000010" w:usb3="00000000" w:csb0="00040000" w:csb1="00000000"/>
    <w:embedRegular r:id="rId9" w:subsetted="1" w:fontKey="{B51BFD41-E101-4353-A355-73F1635C97A4}"/>
    <w:embedBold r:id="rId10" w:subsetted="1" w:fontKey="{8D953AC0-3908-4222-844F-69EF2DE0F7CE}"/>
  </w:font>
  <w:font w:name="ArialUnicodeMS">
    <w:altName w:val="Malgun Gothic"/>
    <w:charset w:val="81"/>
    <w:family w:val="auto"/>
    <w:pitch w:val="default"/>
    <w:sig w:usb0="00000000" w:usb1="00000000" w:usb2="00000010" w:usb3="00000000" w:csb0="00080001" w:csb1="00000000"/>
  </w:font>
  <w:font w:name="方正仿宋_GB2312">
    <w:altName w:val="微软雅黑"/>
    <w:charset w:val="00"/>
    <w:family w:val="auto"/>
    <w:pitch w:val="default"/>
    <w:embedRegular r:id="rId11" w:fontKey="{8B5B166D-41E8-4595-9D12-99777CE93E4C}"/>
    <w:embedBold r:id="rId12" w:fontKey="{BB68DB70-54D9-43CD-955A-44331C87294C}"/>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AC314E">
      <w:rPr>
        <w:noProof/>
      </w:rPr>
      <w:t>1</w:t>
    </w:r>
    <w:r>
      <w:fldChar w:fldCharType="end"/>
    </w:r>
  </w:p>
  <w:p w:rsidR="00C37854" w:rsidRDefault="00C37854"/>
  <w:p w:rsidR="00C37854" w:rsidRDefault="00C37854">
    <w:pPr>
      <w:pStyle w:val="a6"/>
      <w:jc w:val="center"/>
    </w:pPr>
  </w:p>
  <w:p w:rsidR="00C37854" w:rsidRDefault="00C37854">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AC314E">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AC314E">
      <w:rPr>
        <w:noProof/>
      </w:rPr>
      <w:t>4</w:t>
    </w:r>
    <w:r>
      <w:fldChar w:fldCharType="end"/>
    </w:r>
  </w:p>
  <w:p w:rsidR="00C37854" w:rsidRDefault="00C37854"/>
  <w:p w:rsidR="00C37854" w:rsidRDefault="00C37854">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AC314E">
      <w:rPr>
        <w:noProof/>
      </w:rPr>
      <w:t>21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AC314E">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390" w:rsidRDefault="00F61390">
      <w:r>
        <w:separator/>
      </w:r>
    </w:p>
  </w:footnote>
  <w:footnote w:type="continuationSeparator" w:id="0">
    <w:p w:rsidR="00F61390" w:rsidRDefault="00F613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TrueTypeFonts/>
  <w:saveSubsetFonts/>
  <w:bordersDoNotSurroundHeader/>
  <w:bordersDoNotSurroundFooter/>
  <w:defaultTabStop w:val="420"/>
  <w:drawingGridVerticalSpacing w:val="165"/>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AD563B"/>
    <w:rsid w:val="00012503"/>
    <w:rsid w:val="00064B6B"/>
    <w:rsid w:val="00086151"/>
    <w:rsid w:val="00093EE5"/>
    <w:rsid w:val="00095552"/>
    <w:rsid w:val="00096BD3"/>
    <w:rsid w:val="000C40D7"/>
    <w:rsid w:val="000C5559"/>
    <w:rsid w:val="00101AD0"/>
    <w:rsid w:val="00107899"/>
    <w:rsid w:val="00160296"/>
    <w:rsid w:val="00192BAE"/>
    <w:rsid w:val="0019784F"/>
    <w:rsid w:val="001B777B"/>
    <w:rsid w:val="001E2198"/>
    <w:rsid w:val="001F18F5"/>
    <w:rsid w:val="001F4D4D"/>
    <w:rsid w:val="00217410"/>
    <w:rsid w:val="002308D6"/>
    <w:rsid w:val="00236F8C"/>
    <w:rsid w:val="00246961"/>
    <w:rsid w:val="0028795F"/>
    <w:rsid w:val="002B769F"/>
    <w:rsid w:val="003258F7"/>
    <w:rsid w:val="00361704"/>
    <w:rsid w:val="00394693"/>
    <w:rsid w:val="003D1D04"/>
    <w:rsid w:val="003D4313"/>
    <w:rsid w:val="003D7ECE"/>
    <w:rsid w:val="003F5034"/>
    <w:rsid w:val="003F609C"/>
    <w:rsid w:val="00460F17"/>
    <w:rsid w:val="00477557"/>
    <w:rsid w:val="0048377A"/>
    <w:rsid w:val="004C17E0"/>
    <w:rsid w:val="004F6AC9"/>
    <w:rsid w:val="00505F30"/>
    <w:rsid w:val="00507A3D"/>
    <w:rsid w:val="00512CA9"/>
    <w:rsid w:val="00515510"/>
    <w:rsid w:val="00522FC7"/>
    <w:rsid w:val="00540146"/>
    <w:rsid w:val="00560BE2"/>
    <w:rsid w:val="0057089A"/>
    <w:rsid w:val="005A4B82"/>
    <w:rsid w:val="005A7EA3"/>
    <w:rsid w:val="005D0AC6"/>
    <w:rsid w:val="006107F2"/>
    <w:rsid w:val="0061523F"/>
    <w:rsid w:val="00640BCF"/>
    <w:rsid w:val="006654EB"/>
    <w:rsid w:val="006A5523"/>
    <w:rsid w:val="006B27DB"/>
    <w:rsid w:val="006B780E"/>
    <w:rsid w:val="006E6D5F"/>
    <w:rsid w:val="0075466A"/>
    <w:rsid w:val="00757E08"/>
    <w:rsid w:val="00760538"/>
    <w:rsid w:val="007922BE"/>
    <w:rsid w:val="007A518C"/>
    <w:rsid w:val="007E545C"/>
    <w:rsid w:val="0080382F"/>
    <w:rsid w:val="00805159"/>
    <w:rsid w:val="008132CC"/>
    <w:rsid w:val="008203F3"/>
    <w:rsid w:val="00822154"/>
    <w:rsid w:val="008444A8"/>
    <w:rsid w:val="00846B2A"/>
    <w:rsid w:val="00866E11"/>
    <w:rsid w:val="008673BA"/>
    <w:rsid w:val="00867739"/>
    <w:rsid w:val="0087641B"/>
    <w:rsid w:val="008E1CAD"/>
    <w:rsid w:val="009061BA"/>
    <w:rsid w:val="00910F84"/>
    <w:rsid w:val="009A1D78"/>
    <w:rsid w:val="009B758A"/>
    <w:rsid w:val="009E667B"/>
    <w:rsid w:val="009F01A0"/>
    <w:rsid w:val="00A3239E"/>
    <w:rsid w:val="00A53449"/>
    <w:rsid w:val="00A6242D"/>
    <w:rsid w:val="00A807D0"/>
    <w:rsid w:val="00A80D58"/>
    <w:rsid w:val="00AA2F6C"/>
    <w:rsid w:val="00AC314E"/>
    <w:rsid w:val="00AD563B"/>
    <w:rsid w:val="00B732D9"/>
    <w:rsid w:val="00B87133"/>
    <w:rsid w:val="00B92DAB"/>
    <w:rsid w:val="00BD2E67"/>
    <w:rsid w:val="00BD3E05"/>
    <w:rsid w:val="00BD417A"/>
    <w:rsid w:val="00BD43AC"/>
    <w:rsid w:val="00C0341B"/>
    <w:rsid w:val="00C23913"/>
    <w:rsid w:val="00C31D81"/>
    <w:rsid w:val="00C37854"/>
    <w:rsid w:val="00C53175"/>
    <w:rsid w:val="00C60A18"/>
    <w:rsid w:val="00C65689"/>
    <w:rsid w:val="00C8779C"/>
    <w:rsid w:val="00C91D36"/>
    <w:rsid w:val="00CC2C8E"/>
    <w:rsid w:val="00CC53F8"/>
    <w:rsid w:val="00D01211"/>
    <w:rsid w:val="00D303E6"/>
    <w:rsid w:val="00D4069B"/>
    <w:rsid w:val="00D61727"/>
    <w:rsid w:val="00D700C4"/>
    <w:rsid w:val="00D915CE"/>
    <w:rsid w:val="00DB697B"/>
    <w:rsid w:val="00E00414"/>
    <w:rsid w:val="00E065F7"/>
    <w:rsid w:val="00E372AE"/>
    <w:rsid w:val="00E402E9"/>
    <w:rsid w:val="00E74B6A"/>
    <w:rsid w:val="00EC3DE0"/>
    <w:rsid w:val="00EE22EE"/>
    <w:rsid w:val="00EF33F3"/>
    <w:rsid w:val="00F028AF"/>
    <w:rsid w:val="00F0367F"/>
    <w:rsid w:val="00F26E8A"/>
    <w:rsid w:val="00F36390"/>
    <w:rsid w:val="00F44ED7"/>
    <w:rsid w:val="00F540F2"/>
    <w:rsid w:val="00F55C61"/>
    <w:rsid w:val="00F61390"/>
    <w:rsid w:val="00F6260E"/>
    <w:rsid w:val="00F645E2"/>
    <w:rsid w:val="00FB3C23"/>
    <w:rsid w:val="00FB6DBB"/>
    <w:rsid w:val="00FE1D15"/>
    <w:rsid w:val="00FF0714"/>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275391"/>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fillcolor="white">
      <v:fill color="white"/>
    </o:shapedefaults>
    <o:shapelayout v:ext="edit">
      <o:idmap v:ext="edit" data="1"/>
    </o:shapelayout>
  </w:shapeDefaults>
  <w:decimalSymbol w:val="."/>
  <w:listSeparator w:val=","/>
  <w15:docId w15:val="{9DA9D8A9-3259-4D73-9B04-65C9E8EA1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宋体"/>
      <w:sz w:val="24"/>
      <w:szCs w:val="24"/>
    </w:rPr>
  </w:style>
  <w:style w:type="paragraph" w:styleId="1">
    <w:name w:val="heading 1"/>
    <w:basedOn w:val="a"/>
    <w:next w:val="a"/>
    <w:qFormat/>
    <w:pPr>
      <w:keepNext/>
      <w:keepLines/>
      <w:numPr>
        <w:numId w:val="1"/>
      </w:numPr>
      <w:adjustRightInd w:val="0"/>
      <w:snapToGrid w:val="0"/>
      <w:spacing w:before="340" w:afterLines="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0"/>
    <w:uiPriority w:val="9"/>
    <w:semiHidden/>
    <w:unhideWhenUsed/>
    <w:qFormat/>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pPr>
      <w:keepNext/>
      <w:keepLines/>
      <w:numPr>
        <w:ilvl w:val="2"/>
        <w:numId w:val="1"/>
      </w:numPr>
      <w:spacing w:beforeLines="50" w:afterLines="50" w:line="416" w:lineRule="auto"/>
      <w:outlineLvl w:val="2"/>
    </w:pPr>
    <w:rPr>
      <w:rFonts w:ascii="宋体" w:eastAsia="宋体" w:hAnsi="宋体"/>
      <w:b/>
      <w:bCs/>
      <w:sz w:val="32"/>
    </w:rPr>
  </w:style>
  <w:style w:type="paragraph" w:styleId="4">
    <w:name w:val="heading 4"/>
    <w:basedOn w:val="a"/>
    <w:next w:val="a"/>
    <w:uiPriority w:val="9"/>
    <w:semiHidden/>
    <w:unhideWhenUsed/>
    <w:qFormat/>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a5"/>
    <w:uiPriority w:val="99"/>
    <w:unhideWhenUsed/>
    <w:qFormat/>
    <w:rPr>
      <w:rFonts w:cstheme="minorBidi"/>
      <w:kern w:val="2"/>
      <w:sz w:val="18"/>
      <w:szCs w:val="18"/>
    </w:rPr>
  </w:style>
  <w:style w:type="paragraph" w:styleId="a6">
    <w:name w:val="footer"/>
    <w:basedOn w:val="a"/>
    <w:link w:val="a7"/>
    <w:uiPriority w:val="99"/>
    <w:qFormat/>
    <w:pPr>
      <w:tabs>
        <w:tab w:val="center" w:pos="4153"/>
        <w:tab w:val="right" w:pos="8306"/>
      </w:tabs>
      <w:snapToGrid w:val="0"/>
      <w:jc w:val="left"/>
    </w:pPr>
    <w:rPr>
      <w:rFonts w:cstheme="minorBidi"/>
      <w:kern w:val="2"/>
      <w:sz w:val="18"/>
      <w:szCs w:val="18"/>
    </w:rPr>
  </w:style>
  <w:style w:type="paragraph" w:styleId="a8">
    <w:name w:val="header"/>
    <w:basedOn w:val="a"/>
    <w:link w:val="a9"/>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a">
    <w:name w:val="Normal (Web)"/>
    <w:basedOn w:val="a"/>
    <w:uiPriority w:val="99"/>
    <w:semiHidden/>
    <w:unhideWhenUsed/>
    <w:qFormat/>
    <w:pPr>
      <w:spacing w:beforeAutospacing="1" w:afterAutospacing="1"/>
      <w:jc w:val="left"/>
    </w:pPr>
    <w:rPr>
      <w:rFonts w:cs="Times New Roman"/>
    </w:rPr>
  </w:style>
  <w:style w:type="table" w:styleId="ab">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Strong"/>
    <w:basedOn w:val="a0"/>
    <w:uiPriority w:val="22"/>
    <w:qFormat/>
    <w:rPr>
      <w:b/>
    </w:rPr>
  </w:style>
  <w:style w:type="character" w:customStyle="1" w:styleId="20">
    <w:name w:val="标题 2 字符"/>
    <w:link w:val="2"/>
    <w:qFormat/>
    <w:rPr>
      <w:rFonts w:ascii="Calibri Light" w:eastAsia="宋体" w:hAnsi="Calibri Light" w:cs="Times New Roman"/>
      <w:b/>
      <w:bCs/>
      <w:sz w:val="28"/>
      <w:szCs w:val="32"/>
    </w:rPr>
  </w:style>
  <w:style w:type="character" w:customStyle="1" w:styleId="a7">
    <w:name w:val="页脚 字符"/>
    <w:basedOn w:val="a0"/>
    <w:link w:val="a6"/>
    <w:uiPriority w:val="99"/>
    <w:qFormat/>
    <w:rPr>
      <w:rFonts w:asciiTheme="minorHAnsi" w:eastAsiaTheme="minorEastAsia" w:hAnsiTheme="minorHAnsi" w:cstheme="minorBidi"/>
      <w:sz w:val="18"/>
      <w:szCs w:val="18"/>
      <w:lang w:val="en-US" w:eastAsia="zh-CN" w:bidi="ar-SA"/>
    </w:rPr>
  </w:style>
  <w:style w:type="character" w:customStyle="1" w:styleId="a9">
    <w:name w:val="页眉 字符"/>
    <w:basedOn w:val="a0"/>
    <w:link w:val="a8"/>
    <w:qFormat/>
    <w:rPr>
      <w:rFonts w:asciiTheme="minorHAnsi" w:eastAsiaTheme="minorEastAsia" w:hAnsiTheme="minorHAnsi" w:cstheme="minorBidi"/>
      <w:sz w:val="18"/>
      <w:szCs w:val="18"/>
      <w:lang w:val="en-US" w:eastAsia="zh-CN" w:bidi="ar-SA"/>
    </w:rPr>
  </w:style>
  <w:style w:type="character" w:customStyle="1" w:styleId="font11">
    <w:name w:val="font11"/>
    <w:basedOn w:val="a0"/>
    <w:qFormat/>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Pr>
      <w:rFonts w:ascii="宋体" w:eastAsia="宋体" w:hAnsi="宋体" w:cs="宋体" w:hint="eastAsia"/>
      <w:color w:val="000000"/>
      <w:sz w:val="24"/>
      <w:szCs w:val="24"/>
      <w:u w:val="none"/>
      <w:lang w:val="en-US" w:eastAsia="zh-CN" w:bidi="ar-SA"/>
    </w:rPr>
  </w:style>
  <w:style w:type="character" w:customStyle="1" w:styleId="a5">
    <w:name w:val="批注框文本 字符"/>
    <w:basedOn w:val="a0"/>
    <w:link w:val="a4"/>
    <w:uiPriority w:val="99"/>
    <w:semiHidden/>
    <w:qFormat/>
    <w:rPr>
      <w:rFonts w:asciiTheme="minorHAnsi" w:eastAsiaTheme="minorEastAsia" w:hAnsiTheme="minorHAnsi" w:cstheme="minorBidi"/>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243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chart" Target="charts/chart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6.xml"/><Relationship Id="rId10" Type="http://schemas.openxmlformats.org/officeDocument/2006/relationships/footer" Target="footer1.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chart" Target="charts/chart5.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244.33</c:v>
                </c:pt>
                <c:pt idx="1">
                  <c:v>216.35</c:v>
                </c:pt>
              </c:numCache>
            </c:numRef>
          </c:val>
          <c:extLst>
            <c:ext xmlns:c16="http://schemas.microsoft.com/office/drawing/2014/chart" uri="{C3380CC4-5D6E-409C-BE32-E72D297353CC}">
              <c16:uniqueId val="{00000000-CAD7-44E9-9452-46C10F084B83}"/>
            </c:ext>
          </c:extLst>
        </c:ser>
        <c:dLbls>
          <c:showLegendKey val="0"/>
          <c:showVal val="1"/>
          <c:showCatName val="0"/>
          <c:showSerName val="0"/>
          <c:showPercent val="0"/>
          <c:showBubbleSize val="0"/>
        </c:dLbls>
        <c:gapWidth val="246"/>
        <c:overlap val="-28"/>
        <c:axId val="81822464"/>
        <c:axId val="81824000"/>
      </c:barChart>
      <c:catAx>
        <c:axId val="8182246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824000"/>
        <c:crosses val="autoZero"/>
        <c:auto val="1"/>
        <c:lblAlgn val="ctr"/>
        <c:lblOffset val="100"/>
        <c:noMultiLvlLbl val="0"/>
      </c:catAx>
      <c:valAx>
        <c:axId val="818240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822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4AB-43D9-BC92-9395594A826F}"/>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4AB-43D9-BC92-9395594A826F}"/>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4AB-43D9-BC92-9395594A826F}"/>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4AB-43D9-BC92-9395594A826F}"/>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4AB-43D9-BC92-9395594A826F}"/>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4AB-43D9-BC92-9395594A826F}"/>
              </c:ext>
            </c:extLst>
          </c:dPt>
          <c:dLbls>
            <c:dLbl>
              <c:idx val="0"/>
              <c:layout>
                <c:manualLayout>
                  <c:x val="0.32012553940302402"/>
                  <c:y val="0.726907139821478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34AB-43D9-BC92-9395594A826F}"/>
                </c:ext>
              </c:extLst>
            </c:dLbl>
            <c:dLbl>
              <c:idx val="1"/>
              <c:layout>
                <c:manualLayout>
                  <c:x val="-0.30804551640755801"/>
                  <c:y val="0.639146833829127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34AB-43D9-BC92-9395594A826F}"/>
                </c:ext>
              </c:extLst>
            </c:dLbl>
            <c:dLbl>
              <c:idx val="2"/>
              <c:layout>
                <c:manualLayout>
                  <c:x val="0.40541183654007401"/>
                  <c:y val="0.171855078623053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3705907352316199"/>
                    </c:manualLayout>
                  </c15:layout>
                </c:ext>
                <c:ext xmlns:c16="http://schemas.microsoft.com/office/drawing/2014/chart" uri="{C3380CC4-5D6E-409C-BE32-E72D297353CC}">
                  <c16:uniqueId val="{00000005-34AB-43D9-BC92-9395594A826F}"/>
                </c:ext>
              </c:extLst>
            </c:dLbl>
            <c:dLbl>
              <c:idx val="3"/>
              <c:layout>
                <c:manualLayout>
                  <c:x val="-0.28690514823885799"/>
                  <c:y val="0.270250743731381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709732256694"/>
                    </c:manualLayout>
                  </c15:layout>
                </c:ext>
                <c:ext xmlns:c16="http://schemas.microsoft.com/office/drawing/2014/chart" uri="{C3380CC4-5D6E-409C-BE32-E72D297353CC}">
                  <c16:uniqueId val="{00000007-34AB-43D9-BC92-9395594A826F}"/>
                </c:ext>
              </c:extLst>
            </c:dLbl>
            <c:dLbl>
              <c:idx val="4"/>
              <c:layout>
                <c:manualLayout>
                  <c:x val="-0.29898536079525501"/>
                  <c:y val="0.449160645983869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01"/>
                    </c:manualLayout>
                  </c15:layout>
                </c:ext>
                <c:ext xmlns:c16="http://schemas.microsoft.com/office/drawing/2014/chart" uri="{C3380CC4-5D6E-409C-BE32-E72D297353CC}">
                  <c16:uniqueId val="{00000009-34AB-43D9-BC92-9395594A826F}"/>
                </c:ext>
              </c:extLst>
            </c:dLbl>
            <c:dLbl>
              <c:idx val="5"/>
              <c:layout>
                <c:manualLayout>
                  <c:x val="-0.28847557587838402"/>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92222694432601"/>
                    </c:manualLayout>
                  </c15:layout>
                </c:ext>
                <c:ext xmlns:c16="http://schemas.microsoft.com/office/drawing/2014/chart" uri="{C3380CC4-5D6E-409C-BE32-E72D297353CC}">
                  <c16:uniqueId val="{0000000B-34AB-43D9-BC92-9395594A826F}"/>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ctr"/>
            <c:showLegendKey val="1"/>
            <c:showVal val="0"/>
            <c:showCatName val="1"/>
            <c:showSerName val="0"/>
            <c:showPercent val="1"/>
            <c:showBubbleSize val="0"/>
            <c:separator> </c:separator>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2163468.19</c:v>
                </c:pt>
                <c:pt idx="1">
                  <c:v>0</c:v>
                </c:pt>
                <c:pt idx="2">
                  <c:v>0</c:v>
                </c:pt>
                <c:pt idx="3">
                  <c:v>0</c:v>
                </c:pt>
                <c:pt idx="4">
                  <c:v>0</c:v>
                </c:pt>
                <c:pt idx="5">
                  <c:v>0</c:v>
                </c:pt>
              </c:numCache>
            </c:numRef>
          </c:val>
          <c:extLst>
            <c:ext xmlns:c16="http://schemas.microsoft.com/office/drawing/2014/chart" uri="{C3380CC4-5D6E-409C-BE32-E72D297353CC}">
              <c16:uniqueId val="{0000000C-34AB-43D9-BC92-9395594A826F}"/>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50E0-4D09-B5FF-2AB9D343ABE5}"/>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50E0-4D09-B5FF-2AB9D343ABE5}"/>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50E0-4D09-B5FF-2AB9D343ABE5}"/>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50E0-4D09-B5FF-2AB9D343ABE5}"/>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50E0-4D09-B5FF-2AB9D343ABE5}"/>
              </c:ext>
            </c:extLst>
          </c:dPt>
          <c:dLbls>
            <c:dLbl>
              <c:idx val="0"/>
              <c:layout>
                <c:manualLayout>
                  <c:x val="0.34621889345252499"/>
                  <c:y val="0.715469613259668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50E0-4D09-B5FF-2AB9D343ABE5}"/>
                </c:ext>
              </c:extLst>
            </c:dLbl>
            <c:dLbl>
              <c:idx val="1"/>
              <c:layout>
                <c:manualLayout>
                  <c:x val="0.35709591688813702"/>
                  <c:y val="9.7938376540626995E-2"/>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50E0-4D09-B5FF-2AB9D343ABE5}"/>
                </c:ext>
              </c:extLst>
            </c:dLbl>
            <c:dLbl>
              <c:idx val="2"/>
              <c:layout>
                <c:manualLayout>
                  <c:x val="-0.29270355158250799"/>
                  <c:y val="0.266893327666808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50E0-4D09-B5FF-2AB9D343ABE5}"/>
                </c:ext>
              </c:extLst>
            </c:dLbl>
            <c:dLbl>
              <c:idx val="3"/>
              <c:layout>
                <c:manualLayout>
                  <c:x val="-0.31523568456194601"/>
                  <c:y val="0.46831661708461297"/>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50E0-4D09-B5FF-2AB9D343ABE5}"/>
                </c:ext>
              </c:extLst>
            </c:dLbl>
            <c:dLbl>
              <c:idx val="4"/>
              <c:layout>
                <c:manualLayout>
                  <c:x val="-0.273558967655045"/>
                  <c:y val="0.71821036974079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9-50E0-4D09-B5FF-2AB9D343ABE5}"/>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bestFit"/>
            <c:showLegendKey val="1"/>
            <c:showVal val="0"/>
            <c:showCatName val="1"/>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1375548.19</c:v>
                </c:pt>
                <c:pt idx="1">
                  <c:v>787920</c:v>
                </c:pt>
                <c:pt idx="2">
                  <c:v>0</c:v>
                </c:pt>
                <c:pt idx="3">
                  <c:v>0</c:v>
                </c:pt>
                <c:pt idx="4">
                  <c:v>0</c:v>
                </c:pt>
              </c:numCache>
            </c:numRef>
          </c:val>
          <c:extLst>
            <c:ext xmlns:c16="http://schemas.microsoft.com/office/drawing/2014/chart" uri="{C3380CC4-5D6E-409C-BE32-E72D297353CC}">
              <c16:uniqueId val="{0000000A-50E0-4D09-B5FF-2AB9D343ABE5}"/>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244.33</c:v>
                </c:pt>
                <c:pt idx="1">
                  <c:v>244.33</c:v>
                </c:pt>
                <c:pt idx="2">
                  <c:v>244.33</c:v>
                </c:pt>
                <c:pt idx="3">
                  <c:v>244.33</c:v>
                </c:pt>
                <c:pt idx="4">
                  <c:v>0</c:v>
                </c:pt>
                <c:pt idx="5">
                  <c:v>0</c:v>
                </c:pt>
                <c:pt idx="6">
                  <c:v>0</c:v>
                </c:pt>
                <c:pt idx="7">
                  <c:v>0</c:v>
                </c:pt>
              </c:numCache>
            </c:numRef>
          </c:val>
          <c:extLst>
            <c:ext xmlns:c16="http://schemas.microsoft.com/office/drawing/2014/chart" uri="{C3380CC4-5D6E-409C-BE32-E72D297353CC}">
              <c16:uniqueId val="{00000000-C024-4777-8B70-EE3D4A05F189}"/>
            </c:ext>
          </c:extLst>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216.35</c:v>
                </c:pt>
                <c:pt idx="1">
                  <c:v>216.35</c:v>
                </c:pt>
                <c:pt idx="2">
                  <c:v>216.35</c:v>
                </c:pt>
                <c:pt idx="3">
                  <c:v>216.35</c:v>
                </c:pt>
                <c:pt idx="4">
                  <c:v>0</c:v>
                </c:pt>
                <c:pt idx="5">
                  <c:v>0</c:v>
                </c:pt>
                <c:pt idx="6">
                  <c:v>0</c:v>
                </c:pt>
                <c:pt idx="7">
                  <c:v>0</c:v>
                </c:pt>
              </c:numCache>
            </c:numRef>
          </c:val>
          <c:extLst>
            <c:ext xmlns:c16="http://schemas.microsoft.com/office/drawing/2014/chart" uri="{C3380CC4-5D6E-409C-BE32-E72D297353CC}">
              <c16:uniqueId val="{00000001-C024-4777-8B70-EE3D4A05F189}"/>
            </c:ext>
          </c:extLst>
        </c:ser>
        <c:dLbls>
          <c:showLegendKey val="0"/>
          <c:showVal val="1"/>
          <c:showCatName val="0"/>
          <c:showSerName val="0"/>
          <c:showPercent val="0"/>
          <c:showBubbleSize val="0"/>
        </c:dLbls>
        <c:gapWidth val="246"/>
        <c:overlap val="-28"/>
        <c:axId val="82073472"/>
        <c:axId val="82075008"/>
      </c:barChart>
      <c:catAx>
        <c:axId val="8207347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075008"/>
        <c:crosses val="autoZero"/>
        <c:auto val="1"/>
        <c:lblAlgn val="ctr"/>
        <c:lblOffset val="100"/>
        <c:noMultiLvlLbl val="0"/>
      </c:catAx>
      <c:valAx>
        <c:axId val="8207500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07347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p>
        </c:rich>
      </c:tx>
      <c:overlay val="0"/>
      <c:spPr>
        <a:noFill/>
        <a:ln>
          <a:noFill/>
        </a:ln>
        <a:effectLst/>
      </c:spPr>
    </c:title>
    <c:autoTitleDeleted val="0"/>
    <c:plotArea>
      <c:layout>
        <c:manualLayout>
          <c:layoutTarget val="inner"/>
          <c:xMode val="edge"/>
          <c:yMode val="edge"/>
          <c:x val="0.17641942498188001"/>
          <c:y val="0.160433489162771"/>
          <c:w val="0.79579608601111396"/>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233</c:v>
                </c:pt>
                <c:pt idx="1">
                  <c:v>233</c:v>
                </c:pt>
                <c:pt idx="2">
                  <c:v>233</c:v>
                </c:pt>
                <c:pt idx="3">
                  <c:v>233</c:v>
                </c:pt>
                <c:pt idx="4">
                  <c:v>0</c:v>
                </c:pt>
                <c:pt idx="5">
                  <c:v>0</c:v>
                </c:pt>
                <c:pt idx="6">
                  <c:v>0</c:v>
                </c:pt>
                <c:pt idx="7">
                  <c:v>0</c:v>
                </c:pt>
              </c:numCache>
            </c:numRef>
          </c:val>
          <c:extLst>
            <c:ext xmlns:c16="http://schemas.microsoft.com/office/drawing/2014/chart" uri="{C3380CC4-5D6E-409C-BE32-E72D297353CC}">
              <c16:uniqueId val="{00000000-DFA5-4FC5-AE4A-CF15A2A19601}"/>
            </c:ext>
          </c:extLst>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216.35</c:v>
                </c:pt>
                <c:pt idx="1">
                  <c:v>216.35</c:v>
                </c:pt>
                <c:pt idx="2">
                  <c:v>216.35</c:v>
                </c:pt>
                <c:pt idx="3">
                  <c:v>216.35</c:v>
                </c:pt>
                <c:pt idx="4">
                  <c:v>0</c:v>
                </c:pt>
                <c:pt idx="5">
                  <c:v>0</c:v>
                </c:pt>
                <c:pt idx="6">
                  <c:v>0</c:v>
                </c:pt>
                <c:pt idx="7">
                  <c:v>0</c:v>
                </c:pt>
              </c:numCache>
            </c:numRef>
          </c:val>
          <c:extLst>
            <c:ext xmlns:c16="http://schemas.microsoft.com/office/drawing/2014/chart" uri="{C3380CC4-5D6E-409C-BE32-E72D297353CC}">
              <c16:uniqueId val="{00000001-DFA5-4FC5-AE4A-CF15A2A19601}"/>
            </c:ext>
          </c:extLst>
        </c:ser>
        <c:dLbls>
          <c:showLegendKey val="0"/>
          <c:showVal val="1"/>
          <c:showCatName val="0"/>
          <c:showSerName val="0"/>
          <c:showPercent val="0"/>
          <c:showBubbleSize val="0"/>
        </c:dLbls>
        <c:gapWidth val="150"/>
        <c:axId val="82283136"/>
        <c:axId val="82297216"/>
      </c:barChart>
      <c:catAx>
        <c:axId val="8228313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297216"/>
        <c:crosses val="autoZero"/>
        <c:auto val="1"/>
        <c:lblAlgn val="ctr"/>
        <c:lblOffset val="100"/>
        <c:noMultiLvlLbl val="0"/>
      </c:catAx>
      <c:valAx>
        <c:axId val="82297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28313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1D2-4449-9091-7915CBD6B3F6}"/>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1D2-4449-9091-7915CBD6B3F6}"/>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1D2-4449-9091-7915CBD6B3F6}"/>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1D2-4449-9091-7915CBD6B3F6}"/>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1D2-4449-9091-7915CBD6B3F6}"/>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1D2-4449-9091-7915CBD6B3F6}"/>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31D2-4449-9091-7915CBD6B3F6}"/>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31D2-4449-9091-7915CBD6B3F6}"/>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31D2-4449-9091-7915CBD6B3F6}"/>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31D2-4449-9091-7915CBD6B3F6}"/>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31D2-4449-9091-7915CBD6B3F6}"/>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31D2-4449-9091-7915CBD6B3F6}"/>
              </c:ext>
            </c:extLst>
          </c:dPt>
          <c:dPt>
            <c:idx val="12"/>
            <c:bubble3D val="0"/>
            <c:spPr>
              <a:solidFill>
                <a:schemeClr val="accent1">
                  <a:lumMod val="80000"/>
                  <a:lumOff val="20000"/>
                </a:schemeClr>
              </a:solidFill>
              <a:ln>
                <a:solidFill>
                  <a:schemeClr val="bg1"/>
                </a:solidFill>
              </a:ln>
              <a:effectLst/>
            </c:spPr>
            <c:extLst>
              <c:ext xmlns:c16="http://schemas.microsoft.com/office/drawing/2014/chart" uri="{C3380CC4-5D6E-409C-BE32-E72D297353CC}">
                <c16:uniqueId val="{00000019-31D2-4449-9091-7915CBD6B3F6}"/>
              </c:ext>
            </c:extLst>
          </c:dPt>
          <c:dPt>
            <c:idx val="13"/>
            <c:bubble3D val="0"/>
            <c:spPr>
              <a:solidFill>
                <a:schemeClr val="accent2">
                  <a:lumMod val="80000"/>
                  <a:lumOff val="20000"/>
                </a:schemeClr>
              </a:solidFill>
              <a:ln>
                <a:solidFill>
                  <a:schemeClr val="bg1"/>
                </a:solidFill>
              </a:ln>
              <a:effectLst/>
            </c:spPr>
            <c:extLst>
              <c:ext xmlns:c16="http://schemas.microsoft.com/office/drawing/2014/chart" uri="{C3380CC4-5D6E-409C-BE32-E72D297353CC}">
                <c16:uniqueId val="{0000001B-31D2-4449-9091-7915CBD6B3F6}"/>
              </c:ext>
            </c:extLst>
          </c:dPt>
          <c:dPt>
            <c:idx val="14"/>
            <c:bubble3D val="0"/>
            <c:spPr>
              <a:solidFill>
                <a:schemeClr val="accent3">
                  <a:lumMod val="80000"/>
                  <a:lumOff val="20000"/>
                </a:schemeClr>
              </a:solidFill>
              <a:ln>
                <a:solidFill>
                  <a:schemeClr val="bg1"/>
                </a:solidFill>
              </a:ln>
              <a:effectLst/>
            </c:spPr>
            <c:extLst>
              <c:ext xmlns:c16="http://schemas.microsoft.com/office/drawing/2014/chart" uri="{C3380CC4-5D6E-409C-BE32-E72D297353CC}">
                <c16:uniqueId val="{0000001D-31D2-4449-9091-7915CBD6B3F6}"/>
              </c:ext>
            </c:extLst>
          </c:dPt>
          <c:dPt>
            <c:idx val="15"/>
            <c:bubble3D val="0"/>
            <c:spPr>
              <a:solidFill>
                <a:schemeClr val="accent4">
                  <a:lumMod val="80000"/>
                  <a:lumOff val="20000"/>
                </a:schemeClr>
              </a:solidFill>
              <a:ln>
                <a:solidFill>
                  <a:schemeClr val="bg1"/>
                </a:solidFill>
              </a:ln>
              <a:effectLst/>
            </c:spPr>
            <c:extLst>
              <c:ext xmlns:c16="http://schemas.microsoft.com/office/drawing/2014/chart" uri="{C3380CC4-5D6E-409C-BE32-E72D297353CC}">
                <c16:uniqueId val="{0000001F-31D2-4449-9091-7915CBD6B3F6}"/>
              </c:ext>
            </c:extLst>
          </c:dPt>
          <c:dPt>
            <c:idx val="16"/>
            <c:bubble3D val="0"/>
            <c:spPr>
              <a:solidFill>
                <a:schemeClr val="accent5">
                  <a:lumMod val="80000"/>
                  <a:lumOff val="20000"/>
                </a:schemeClr>
              </a:solidFill>
              <a:ln>
                <a:solidFill>
                  <a:schemeClr val="bg1"/>
                </a:solidFill>
              </a:ln>
              <a:effectLst/>
            </c:spPr>
            <c:extLst>
              <c:ext xmlns:c16="http://schemas.microsoft.com/office/drawing/2014/chart" uri="{C3380CC4-5D6E-409C-BE32-E72D297353CC}">
                <c16:uniqueId val="{00000021-31D2-4449-9091-7915CBD6B3F6}"/>
              </c:ext>
            </c:extLst>
          </c:dPt>
          <c:dPt>
            <c:idx val="17"/>
            <c:bubble3D val="0"/>
            <c:spPr>
              <a:solidFill>
                <a:schemeClr val="accent6">
                  <a:lumMod val="80000"/>
                  <a:lumOff val="20000"/>
                </a:schemeClr>
              </a:solidFill>
              <a:ln>
                <a:solidFill>
                  <a:schemeClr val="bg1"/>
                </a:solidFill>
              </a:ln>
              <a:effectLst/>
            </c:spPr>
            <c:extLst>
              <c:ext xmlns:c16="http://schemas.microsoft.com/office/drawing/2014/chart" uri="{C3380CC4-5D6E-409C-BE32-E72D297353CC}">
                <c16:uniqueId val="{00000023-31D2-4449-9091-7915CBD6B3F6}"/>
              </c:ext>
            </c:extLst>
          </c:dPt>
          <c:dPt>
            <c:idx val="18"/>
            <c:bubble3D val="0"/>
            <c:spPr>
              <a:solidFill>
                <a:schemeClr val="accent1">
                  <a:lumMod val="80000"/>
                </a:schemeClr>
              </a:solidFill>
              <a:ln>
                <a:solidFill>
                  <a:schemeClr val="bg1"/>
                </a:solidFill>
              </a:ln>
              <a:effectLst/>
            </c:spPr>
            <c:extLst>
              <c:ext xmlns:c16="http://schemas.microsoft.com/office/drawing/2014/chart" uri="{C3380CC4-5D6E-409C-BE32-E72D297353CC}">
                <c16:uniqueId val="{00000025-31D2-4449-9091-7915CBD6B3F6}"/>
              </c:ext>
            </c:extLst>
          </c:dPt>
          <c:dPt>
            <c:idx val="19"/>
            <c:bubble3D val="0"/>
            <c:spPr>
              <a:solidFill>
                <a:schemeClr val="accent2">
                  <a:lumMod val="80000"/>
                </a:schemeClr>
              </a:solidFill>
              <a:ln>
                <a:solidFill>
                  <a:schemeClr val="bg1"/>
                </a:solidFill>
              </a:ln>
              <a:effectLst/>
            </c:spPr>
            <c:extLst>
              <c:ext xmlns:c16="http://schemas.microsoft.com/office/drawing/2014/chart" uri="{C3380CC4-5D6E-409C-BE32-E72D297353CC}">
                <c16:uniqueId val="{00000027-31D2-4449-9091-7915CBD6B3F6}"/>
              </c:ext>
            </c:extLst>
          </c:dPt>
          <c:dPt>
            <c:idx val="20"/>
            <c:bubble3D val="0"/>
            <c:spPr>
              <a:solidFill>
                <a:schemeClr val="accent3">
                  <a:lumMod val="80000"/>
                </a:schemeClr>
              </a:solidFill>
              <a:ln>
                <a:solidFill>
                  <a:schemeClr val="bg1"/>
                </a:solidFill>
              </a:ln>
              <a:effectLst/>
            </c:spPr>
            <c:extLst>
              <c:ext xmlns:c16="http://schemas.microsoft.com/office/drawing/2014/chart" uri="{C3380CC4-5D6E-409C-BE32-E72D297353CC}">
                <c16:uniqueId val="{00000029-31D2-4449-9091-7915CBD6B3F6}"/>
              </c:ext>
            </c:extLst>
          </c:dPt>
          <c:dPt>
            <c:idx val="21"/>
            <c:bubble3D val="0"/>
            <c:spPr>
              <a:solidFill>
                <a:schemeClr val="accent4">
                  <a:lumMod val="80000"/>
                </a:schemeClr>
              </a:solidFill>
              <a:ln>
                <a:solidFill>
                  <a:schemeClr val="bg1"/>
                </a:solidFill>
              </a:ln>
              <a:effectLst/>
            </c:spPr>
            <c:extLst>
              <c:ext xmlns:c16="http://schemas.microsoft.com/office/drawing/2014/chart" uri="{C3380CC4-5D6E-409C-BE32-E72D297353CC}">
                <c16:uniqueId val="{0000002B-31D2-4449-9091-7915CBD6B3F6}"/>
              </c:ext>
            </c:extLst>
          </c:dPt>
          <c:dPt>
            <c:idx val="22"/>
            <c:bubble3D val="0"/>
            <c:spPr>
              <a:solidFill>
                <a:schemeClr val="accent5">
                  <a:lumMod val="80000"/>
                </a:schemeClr>
              </a:solidFill>
              <a:ln>
                <a:solidFill>
                  <a:schemeClr val="bg1"/>
                </a:solidFill>
              </a:ln>
              <a:effectLst/>
            </c:spPr>
            <c:extLst>
              <c:ext xmlns:c16="http://schemas.microsoft.com/office/drawing/2014/chart" uri="{C3380CC4-5D6E-409C-BE32-E72D297353CC}">
                <c16:uniqueId val="{0000002D-31D2-4449-9091-7915CBD6B3F6}"/>
              </c:ext>
            </c:extLst>
          </c:dPt>
          <c:dPt>
            <c:idx val="23"/>
            <c:bubble3D val="0"/>
            <c:spPr>
              <a:solidFill>
                <a:schemeClr val="accent6">
                  <a:lumMod val="80000"/>
                </a:schemeClr>
              </a:solidFill>
              <a:ln>
                <a:solidFill>
                  <a:schemeClr val="bg1"/>
                </a:solidFill>
              </a:ln>
              <a:effectLst/>
            </c:spPr>
            <c:extLst>
              <c:ext xmlns:c16="http://schemas.microsoft.com/office/drawing/2014/chart" uri="{C3380CC4-5D6E-409C-BE32-E72D297353CC}">
                <c16:uniqueId val="{0000002F-31D2-4449-9091-7915CBD6B3F6}"/>
              </c:ext>
            </c:extLst>
          </c:dPt>
          <c:dPt>
            <c:idx val="24"/>
            <c:bubble3D val="0"/>
            <c:spPr>
              <a:solidFill>
                <a:schemeClr val="accent1">
                  <a:lumMod val="60000"/>
                  <a:lumOff val="40000"/>
                </a:schemeClr>
              </a:solidFill>
              <a:ln>
                <a:solidFill>
                  <a:schemeClr val="bg1"/>
                </a:solidFill>
              </a:ln>
              <a:effectLst/>
            </c:spPr>
            <c:extLst>
              <c:ext xmlns:c16="http://schemas.microsoft.com/office/drawing/2014/chart" uri="{C3380CC4-5D6E-409C-BE32-E72D297353CC}">
                <c16:uniqueId val="{00000031-31D2-4449-9091-7915CBD6B3F6}"/>
              </c:ext>
            </c:extLst>
          </c:dPt>
          <c:dPt>
            <c:idx val="25"/>
            <c:bubble3D val="0"/>
            <c:spPr>
              <a:solidFill>
                <a:schemeClr val="accent2">
                  <a:lumMod val="60000"/>
                  <a:lumOff val="40000"/>
                </a:schemeClr>
              </a:solidFill>
              <a:ln>
                <a:solidFill>
                  <a:schemeClr val="bg1"/>
                </a:solidFill>
              </a:ln>
              <a:effectLst/>
            </c:spPr>
            <c:extLst>
              <c:ext xmlns:c16="http://schemas.microsoft.com/office/drawing/2014/chart" uri="{C3380CC4-5D6E-409C-BE32-E72D297353CC}">
                <c16:uniqueId val="{00000033-31D2-4449-9091-7915CBD6B3F6}"/>
              </c:ext>
            </c:extLst>
          </c:dPt>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163.93</c:v>
                </c:pt>
                <c:pt idx="1">
                  <c:v>0</c:v>
                </c:pt>
                <c:pt idx="2">
                  <c:v>0</c:v>
                </c:pt>
                <c:pt idx="3">
                  <c:v>0</c:v>
                </c:pt>
                <c:pt idx="4">
                  <c:v>0</c:v>
                </c:pt>
                <c:pt idx="5">
                  <c:v>0</c:v>
                </c:pt>
                <c:pt idx="6">
                  <c:v>0</c:v>
                </c:pt>
                <c:pt idx="7">
                  <c:v>38.520000000000003</c:v>
                </c:pt>
                <c:pt idx="8">
                  <c:v>5.15</c:v>
                </c:pt>
                <c:pt idx="9">
                  <c:v>0</c:v>
                </c:pt>
                <c:pt idx="10">
                  <c:v>0</c:v>
                </c:pt>
                <c:pt idx="11">
                  <c:v>0</c:v>
                </c:pt>
                <c:pt idx="12">
                  <c:v>0</c:v>
                </c:pt>
                <c:pt idx="13">
                  <c:v>0</c:v>
                </c:pt>
                <c:pt idx="14">
                  <c:v>0</c:v>
                </c:pt>
                <c:pt idx="15">
                  <c:v>0</c:v>
                </c:pt>
                <c:pt idx="16">
                  <c:v>0</c:v>
                </c:pt>
                <c:pt idx="17">
                  <c:v>0</c:v>
                </c:pt>
                <c:pt idx="18">
                  <c:v>8.75</c:v>
                </c:pt>
                <c:pt idx="19">
                  <c:v>0</c:v>
                </c:pt>
                <c:pt idx="20">
                  <c:v>0</c:v>
                </c:pt>
                <c:pt idx="21">
                  <c:v>0</c:v>
                </c:pt>
                <c:pt idx="22">
                  <c:v>0</c:v>
                </c:pt>
                <c:pt idx="23">
                  <c:v>0</c:v>
                </c:pt>
                <c:pt idx="24">
                  <c:v>0</c:v>
                </c:pt>
                <c:pt idx="25">
                  <c:v>0</c:v>
                </c:pt>
              </c:numCache>
            </c:numRef>
          </c:val>
          <c:extLst>
            <c:ext xmlns:c16="http://schemas.microsoft.com/office/drawing/2014/chart" uri="{C3380CC4-5D6E-409C-BE32-E72D297353CC}">
              <c16:uniqueId val="{00000034-31D2-4449-9091-7915CBD6B3F6}"/>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38</Pages>
  <Words>2237</Words>
  <Characters>12755</Characters>
  <Application>Microsoft Office Word</Application>
  <DocSecurity>0</DocSecurity>
  <Lines>106</Lines>
  <Paragraphs>29</Paragraphs>
  <ScaleCrop>false</ScaleCrop>
  <Company>神州网信技术有限公司</Company>
  <LinksUpToDate>false</LinksUpToDate>
  <CharactersWithSpaces>14963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185</cp:revision>
  <cp:lastPrinted>2023-08-04T01:00:00Z</cp:lastPrinted>
  <dcterms:created xsi:type="dcterms:W3CDTF">2025-11-23T07:24:00Z</dcterms:created>
  <dcterms:modified xsi:type="dcterms:W3CDTF">2025-11-24T08:08:00Z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