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shd w:val="clear" w:fill="FFFFFF"/>
        <w:ind w:left="0" w:firstLine="0"/>
        <w:jc w:val="center"/>
        <w:rPr>
          <w:rFonts w:ascii="微软雅黑" w:hAnsi="微软雅黑" w:eastAsia="微软雅黑" w:cs="微软雅黑"/>
          <w:b/>
          <w:bCs/>
          <w:i w:val="0"/>
          <w:iCs w:val="0"/>
          <w:caps w:val="0"/>
          <w:color w:val="000000"/>
          <w:spacing w:val="0"/>
        </w:rPr>
      </w:pPr>
      <w:r>
        <w:rPr>
          <w:rFonts w:hint="eastAsia" w:ascii="微软雅黑" w:hAnsi="微软雅黑" w:eastAsia="微软雅黑" w:cs="微软雅黑"/>
          <w:b/>
          <w:bCs/>
          <w:i w:val="0"/>
          <w:iCs w:val="0"/>
          <w:caps w:val="0"/>
          <w:color w:val="000000"/>
          <w:spacing w:val="0"/>
          <w:kern w:val="0"/>
          <w:sz w:val="24"/>
          <w:szCs w:val="24"/>
          <w:shd w:val="clear" w:fill="FFFFFF"/>
          <w:lang w:val="en-US" w:eastAsia="zh-CN" w:bidi="ar"/>
        </w:rPr>
        <w:t>2.井陉县水利局检查事项和依据</w:t>
      </w:r>
    </w:p>
    <w:tbl>
      <w:tblPr>
        <w:tblStyle w:val="3"/>
        <w:tblW w:w="14258"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695"/>
        <w:gridCol w:w="1650"/>
        <w:gridCol w:w="119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2" w:hRule="atLeast"/>
        </w:trPr>
        <w:tc>
          <w:tcPr>
            <w:tcW w:w="695" w:type="dxa"/>
            <w:vMerge w:val="restart"/>
            <w:tcBorders>
              <w:top w:val="single" w:color="000000" w:sz="6" w:space="0"/>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ascii="黑体" w:hAnsi="宋体" w:eastAsia="黑体" w:cs="黑体"/>
                <w:i w:val="0"/>
                <w:iCs w:val="0"/>
                <w:color w:val="000000"/>
                <w:sz w:val="21"/>
                <w:szCs w:val="21"/>
              </w:rPr>
              <w:t>序号</w:t>
            </w:r>
          </w:p>
        </w:tc>
        <w:tc>
          <w:tcPr>
            <w:tcW w:w="1650" w:type="dxa"/>
            <w:vMerge w:val="restart"/>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黑体" w:hAnsi="宋体" w:eastAsia="黑体" w:cs="黑体"/>
                <w:i w:val="0"/>
                <w:iCs w:val="0"/>
                <w:color w:val="000000"/>
                <w:sz w:val="21"/>
                <w:szCs w:val="21"/>
              </w:rPr>
              <w:t>事项名称</w:t>
            </w:r>
          </w:p>
        </w:tc>
        <w:tc>
          <w:tcPr>
            <w:tcW w:w="11913" w:type="dxa"/>
            <w:vMerge w:val="restart"/>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sz w:val="21"/>
                <w:szCs w:val="21"/>
              </w:rPr>
            </w:pPr>
            <w:r>
              <w:rPr>
                <w:rFonts w:hint="eastAsia" w:ascii="黑体" w:hAnsi="宋体" w:eastAsia="黑体" w:cs="黑体"/>
                <w:i w:val="0"/>
                <w:iCs w:val="0"/>
                <w:color w:val="000000"/>
                <w:sz w:val="21"/>
                <w:szCs w:val="21"/>
              </w:rPr>
              <w:t>实施依据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12" w:hRule="atLeast"/>
        </w:trPr>
        <w:tc>
          <w:tcPr>
            <w:tcW w:w="695" w:type="dxa"/>
            <w:vMerge w:val="continue"/>
            <w:tcBorders>
              <w:top w:val="single" w:color="000000" w:sz="6" w:space="0"/>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jc w:val="center"/>
              <w:rPr>
                <w:rFonts w:hint="default" w:ascii="Times New Roman" w:hAnsi="Times New Roman" w:cs="Times New Roman"/>
                <w:sz w:val="19"/>
                <w:szCs w:val="19"/>
              </w:rPr>
            </w:pPr>
          </w:p>
        </w:tc>
        <w:tc>
          <w:tcPr>
            <w:tcW w:w="1650" w:type="dxa"/>
            <w:vMerge w:val="continue"/>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jc w:val="both"/>
              <w:rPr>
                <w:rFonts w:hint="default" w:ascii="Times New Roman" w:hAnsi="Times New Roman" w:cs="Times New Roman"/>
                <w:sz w:val="19"/>
                <w:szCs w:val="19"/>
              </w:rPr>
            </w:pPr>
          </w:p>
        </w:tc>
        <w:tc>
          <w:tcPr>
            <w:tcW w:w="11913" w:type="dxa"/>
            <w:vMerge w:val="continue"/>
            <w:tcBorders>
              <w:top w:val="single" w:color="000000" w:sz="6" w:space="0"/>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jc w:val="both"/>
              <w:rPr>
                <w:rFonts w:hint="default" w:ascii="Times New Roman" w:hAnsi="Times New Roman" w:cs="Times New Roman"/>
                <w:sz w:val="19"/>
                <w:szCs w:val="19"/>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20"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ascii="仿宋_GB2312" w:hAnsi="Calibri" w:eastAsia="仿宋_GB2312" w:cs="仿宋_GB2312"/>
                <w:i w:val="0"/>
                <w:iCs w:val="0"/>
                <w:color w:val="000000"/>
                <w:sz w:val="22"/>
                <w:szCs w:val="22"/>
              </w:rPr>
              <w:t>1</w:t>
            </w:r>
          </w:p>
        </w:tc>
        <w:tc>
          <w:tcPr>
            <w:tcW w:w="1650" w:type="dxa"/>
            <w:tcBorders>
              <w:top w:val="nil"/>
              <w:left w:val="nil"/>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对取用水行为的行政检查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《取水许可和水资源费征收管理条例》第三条 县级以上人民政府水行政主管部门按照分级管理权限，负责取水许可制度的组织实施和监督管理。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第三十八条 县级以上人民政府水行政主管部门或者流域管理机构应当依照本条例规定，加强对取水许可制度实施的监督管理。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第四十五条 县级以上人民政府水行政主管部门或者流域管理机构在进行监督检查时，有权采取下列措施：</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(一)要求被检查单位或者个人提供有关文件、证照、资料；</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(二)要求被检查单位或者个人就执行本条例的有关问题作出说明；</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(三)进入被检查单位或者个人的生产场所进行调查；</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四)责令被检查单位或者个人停止违反本条例的行为，履行法定义务。监督检查人员在进行监督检查时，应当出示合法有效的行政执法证件。有关单位和个人对监督检查工作应当给予配合，不得拒绝或者阻碍监督检查人员依法执行公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90"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2</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对水利工程质量检测单位资质（乙级）的行政检查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《水利工程质量检测管理规定》（水利部令第36号公布，水利部令第50号修正）第五条 水利部负责审批检测单位甲级资质；省、自治区、直辖市人民政府水行政主管部门负责审批检测单位乙级资质。 检测单位资质原则上采用集中审批方式，受理时间由审批机关提前三个月向社会公告。</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第二十一条 县级以上人民政府水行政主管部门应当加强对检测单位及其质量检测活动的监督检查，主要检查下列内容：</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（一）是否符合资质等级标准；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（二）是否有涂改、倒卖、出租、出借或者以其他形式非法转让《资质等级证书》的行为；</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（三）是否存在转包、违规分包检测业务及租借、挂靠资质等违规行为；</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（四）是否按照有关标准和规定进行检测；</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（五）是否按照规定在质量检测报告上签字盖章，质量检测报告是否真实；</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（六）仪器设备的运行、检定和校准情况；</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（七）法律、法规规定的其他事项。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921"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3</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对河道管理范围内有关活动（不含河道采砂）的行政检查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《中华人民共和国河道管理条例》第四条 国务院水利行政主管部门是全国河道的主管机关。各省、自治区、直辖市的水利行政主管部门是该行政区域的河道主管机关。</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第八条 各级人民政府河道主管机关以及河道监理人员，必须按照国家法律、法规，加强河道管理，执行供水计划和防洪调度命令，维护水工程和人民生命财产安全。</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第二十五条 在河道管理范围内进行下列活动，必须报经河道主管机关批准；涉及其他部门的，由河道主管机关会同有关部门批准：(一)采砂、取土、淘金、弃置砂石或者淤泥；(二)爆破、钻探、挖筑鱼塘；(三)在河道滩地存放物料、修建厂房或者其他建筑设施；(四)在河道滩地开采地下资源及进行考古发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69"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4</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对河道管理范围内建设项目的行政检查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《中华人民共和国水法》第三十八 在河道管理范围内建设桥梁、码头和其他拦河、跨河、临河建筑物、构筑物，铺设跨河管道、电缆，应当符合国家规定的防洪标准和其他有关的技术要求，工程建设方案应当依照防洪法的有关规定报经有关水行政主管部门审查同意。</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《中华人民共和国防洪法》第二十七条 建设跨河、穿河、穿堤、临河的桥梁、码头、道路、渡口、管道、缆线、取水、排水等工程设施，应当符合防洪标准、岸线规划、航运要求和其他技术要求，不得危害堤防安全、影响河势稳定、妨碍行洪畅通；其工程建设方案未经有关水行政主管部门根据前述防洪要求审查同意的，建设单位不得开工建设。前款工程设施需要占用河道、湖泊管理范围内土地，跨越河道、湖泊空间或者穿越河床的，建设单位应当经有关水行政主管部门对该工程设施建设的位置和界限审查批准后，方可依法办理开工手续；安排施工时，应当按照水行政主管部门审查批准的位置和界限进行。</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《中华人民共和国河道管理条例》第十一条 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建设项目经批准后，建设单位应当将施工安排告知河道主管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366"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5</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对河道采砂的行政检查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《中华人民共和国河道管理条例》第四条 国务院水利行政主管部门是全国河道的主管机关。各省、自治区、直辖市的水利行政主管部门是该行政区域的河道主管机关。</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第八条 各级人民政府河道主管机关以及河道监理人员，必须按照国家法律、法规，加强河道管理，执行供水计划和防洪调度命令，维护水工程和人民生命财产安全。</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《河北省河湖保护和治理条例》第三十四条 县级以上人民政府应当严格落实河道采砂许可制度。采砂许可应当载明开采的地点、期限、范围、深度、开采总量、作业方式、河道整治等事项。未经许可，任何单位和个人不得从事河道采砂活动。</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《河北省河道采砂管理规定》第十一条 从事河道采砂活动，应当向水行政主管部门申请河道采砂许可证。未经行政许可,任何单位和个人不得擅自从事河道采砂活动或者发包河道采砂经营权。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103"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6</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对围垦河道的行政检查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《中华人民共和国水法》第四十条 禁止围湖造地。已经围垦的，应当按照国家规定的防洪标准有计划地退地还湖。禁止围垦河道。确需围垦的，应当经过科学论证，经省、自治区、直辖市人民政府水行政主管部门或者国务院水行政主管部门同意后，报本级人民政府批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《中华人民共和国防洪法》第二十三条 禁止围湖造地。已经围垦的，应当按照国家规定的防洪标准进行治理，有计划地退地还湖。禁止围垦河道。确需围垦的，应当进行科学论证，经水行政主管部门确认不妨碍行洪、输水后，报省级以上人民政府批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193"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7</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对生产建设项目水土保持的行政检查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《中华人民共和国水土保持法》第五条 国务院水行政主管部门主管全国的水土保持工作。国务院水行政主管部门在国家确定的重要江河、湖泊设立的流域管理机构（以下简称流域管理机构），在所管辖范围内依法承担水土保持监督管理职责。县级以上地方人民政府水行政主管部门主管本行政区域的水土保持工作。县级以上人民政府林业、农业、国土资源等有关部门按照各自职责，做好有关的水土流失预防和治理工作。</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第二十九条 县级以上人民政府水行政主管部门、流域管理机构，应当对生产建设项目水土保持方案的实施情况进行跟踪检查，发现问题及时处理。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第四十三条 县级以上人民政府水行政主管部门负责对水土保持情况进行监督检查。流域管理机构在其管辖范围内可以行使国务院水行政主管部门的监督检查职权。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90"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8</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对小水电站安全生产的行政检查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《中华人民共和国安全生产法》第十条　国务院应急管理部门依照本法，对全国安全生产工作实施综合监督管理；县级以上地方各级人民政府应急管理部门依照本法，对本行政区域内安全生产工作实施综合监督管理。</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国务院交通运输、住房和城乡建设、水利、民航等有关部门依照本法和其他有关法律、行政法规的规定，在各自的职责范围内对有关行业、领域的安全生产工作实施监督管理；县级以上地方各级人民政府有关部门依照本法和其他有关法律、法规的规定，在各自的职责范围内对有关行业、领域的安全生产工作实施监督管理。对新兴行业、领域的安全生产监督管理职责不明确的，由县级以上地方各级人民政府按照业务相近的原则确定监督管理部门。</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第六十五条：应急管理部门和其他负有安全生产监督管理职责的部门依法开展安全生产行政执法工作，对生产经营单位执行有关安全生产的法律、法规和国家标准或者行业标准的情况进行监督检查，行使以下职权:（一）进入生产经营单位进行检查，调阅有关资料，向有关单位和人员了解情况；（二）对检查中发现的安全生产违法行为，当场予以纠正或者要求限期改正；对依法应当给予行政处罚的行为，依照本法和其他有关法律、行政法规的规定作出行政处罚决定；（三）对检查中发现的事故隐患，应当责令立即排除；重大事故隐患排除前或者排除过程中无法保证安全的，应当责令从危险区域内撤出作业人员，责令暂时停产停业或者停止使用相关设施、设备；重大事故隐患排除后，经审查同意，方可恢复生产经营和使用；（四）对有根据认为不符合保障安全生产的国家标准或者行业标准的设施、设备、器材以及违法生产、储存、使用、经营、运输的危险物品予以查封或者扣押，对违法生产、储存、使用、经营危险物品的作业场所予以查封，并依法作出处理决定。监督检查不得影响被检查单位的正常生产经营活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466"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pPr>
            <w:r>
              <w:rPr>
                <w:rFonts w:hint="default" w:ascii="仿宋_GB2312" w:hAnsi="Calibri" w:eastAsia="仿宋_GB2312" w:cs="仿宋_GB2312"/>
                <w:i w:val="0"/>
                <w:iCs w:val="0"/>
                <w:color w:val="000000"/>
                <w:sz w:val="22"/>
                <w:szCs w:val="22"/>
              </w:rPr>
              <w:t>9</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对节约用水的行政检查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《中华人民共和国水法》第十三条 国务院有关部门按照职责分工，负责水资源开发、利用、节约和保护的有关工作。县级以上地方人民政府有关部门按照职责分工，负责本行政区域内水资源开发、利用、节约和保护的有关工作。</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《节约用水条例》第四十三条 县级以上人民政府水行政、住房城乡建设、市场监督管理等主管部门应当按照职责分工，加强对用水活动的监督检查，依法查处违法行为。有关部门履行监督检查职责时，有权采取下列措施：</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（一）进入现场开展检查，调查了解有关情况；</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（二）要求被检查单位或者个人就节水有关问题作出说明；</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（三）要求被检查单位或者个人提供有关文件、资料，进行查阅或者复制；</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（四）法律、行政法规规定的其他措施。监督检查人员在履行监督检查职责时，应当主动出示执法证件。被检查单位和个人应当予以配合，不得拒绝、阻碍。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31"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eastAsia="仿宋_GB2312"/>
                <w:lang w:eastAsia="zh-CN"/>
              </w:rPr>
            </w:pPr>
            <w:r>
              <w:rPr>
                <w:rFonts w:hint="default" w:ascii="仿宋_GB2312" w:hAnsi="Calibri" w:eastAsia="仿宋_GB2312" w:cs="仿宋_GB2312"/>
                <w:i w:val="0"/>
                <w:iCs w:val="0"/>
                <w:color w:val="000000"/>
                <w:sz w:val="22"/>
                <w:szCs w:val="22"/>
              </w:rPr>
              <w:t>1</w:t>
            </w:r>
            <w:r>
              <w:rPr>
                <w:rFonts w:hint="eastAsia" w:ascii="仿宋_GB2312" w:hAnsi="Calibri" w:eastAsia="仿宋_GB2312" w:cs="仿宋_GB2312"/>
                <w:i w:val="0"/>
                <w:iCs w:val="0"/>
                <w:color w:val="000000"/>
                <w:sz w:val="22"/>
                <w:szCs w:val="22"/>
                <w:lang w:val="en-US" w:eastAsia="zh-CN"/>
              </w:rPr>
              <w:t>0</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水利工程质量监督检查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《建设工程质量管理条例》第四条、第四十四条</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《建设工程勘察设计管理条例》第五条第一款</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《水利工程质量管理规定》第四条、第五十四条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1376"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eastAsia="仿宋_GB2312"/>
                <w:lang w:eastAsia="zh-CN"/>
              </w:rPr>
            </w:pPr>
            <w:r>
              <w:rPr>
                <w:rFonts w:hint="default" w:ascii="仿宋_GB2312" w:hAnsi="Calibri" w:eastAsia="仿宋_GB2312" w:cs="仿宋_GB2312"/>
                <w:i w:val="0"/>
                <w:iCs w:val="0"/>
                <w:color w:val="000000"/>
                <w:sz w:val="22"/>
                <w:szCs w:val="22"/>
              </w:rPr>
              <w:t>1</w:t>
            </w:r>
            <w:r>
              <w:rPr>
                <w:rFonts w:hint="eastAsia" w:ascii="仿宋_GB2312" w:hAnsi="Calibri" w:eastAsia="仿宋_GB2312" w:cs="仿宋_GB2312"/>
                <w:i w:val="0"/>
                <w:iCs w:val="0"/>
                <w:color w:val="000000"/>
                <w:sz w:val="22"/>
                <w:szCs w:val="22"/>
                <w:lang w:val="en-US" w:eastAsia="zh-CN"/>
              </w:rPr>
              <w:t>1</w:t>
            </w:r>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小水电生态流量监督检查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《中华人民共和国水法》第二十一条第一款</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《取水许可和水资源费征收管理条例》第三条第一款、第三十八条第一款</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《取水许可管理办法》第二十一条、第四十条</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《水利部 生态环境部关于加强长江经济带小水电站生态流量监管的通知》（水电〔2019〕241号）</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《水利部办公厅 生态环境部办公厅关于调整水电〔2019〕241号文件适用范围的通知》（办水电〔2020〕204号）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99" w:hRule="atLeast"/>
        </w:trPr>
        <w:tc>
          <w:tcPr>
            <w:tcW w:w="695" w:type="dxa"/>
            <w:tcBorders>
              <w:top w:val="nil"/>
              <w:left w:val="single" w:color="000000" w:sz="6" w:space="0"/>
              <w:bottom w:val="single" w:color="000000" w:sz="6" w:space="0"/>
              <w:right w:val="single" w:color="000000" w:sz="6" w:space="0"/>
            </w:tcBorders>
            <w:shd w:val="clear" w:color="auto" w:fill="auto"/>
            <w:noWrap/>
            <w:tcMar>
              <w:top w:w="0" w:type="dxa"/>
              <w:left w:w="105" w:type="dxa"/>
              <w:bottom w:w="0" w:type="dxa"/>
              <w:right w:w="105" w:type="dxa"/>
            </w:tcMar>
            <w:vAlign w:val="center"/>
          </w:tcPr>
          <w:p>
            <w:pPr>
              <w:pStyle w:val="2"/>
              <w:keepNext w:val="0"/>
              <w:keepLines w:val="0"/>
              <w:widowControl/>
              <w:suppressLineNumbers w:val="0"/>
              <w:jc w:val="center"/>
              <w:rPr>
                <w:rFonts w:hint="eastAsia" w:eastAsia="仿宋_GB2312"/>
                <w:lang w:eastAsia="zh-CN"/>
              </w:rPr>
            </w:pPr>
            <w:r>
              <w:rPr>
                <w:rFonts w:hint="default" w:ascii="仿宋_GB2312" w:hAnsi="Calibri" w:eastAsia="仿宋_GB2312" w:cs="仿宋_GB2312"/>
                <w:i w:val="0"/>
                <w:iCs w:val="0"/>
                <w:color w:val="000000"/>
                <w:sz w:val="22"/>
                <w:szCs w:val="22"/>
              </w:rPr>
              <w:t>1</w:t>
            </w:r>
            <w:r>
              <w:rPr>
                <w:rFonts w:hint="eastAsia" w:ascii="仿宋_GB2312" w:hAnsi="Calibri" w:eastAsia="仿宋_GB2312" w:cs="仿宋_GB2312"/>
                <w:i w:val="0"/>
                <w:iCs w:val="0"/>
                <w:color w:val="000000"/>
                <w:sz w:val="22"/>
                <w:szCs w:val="22"/>
                <w:lang w:val="en-US" w:eastAsia="zh-CN"/>
              </w:rPr>
              <w:t>2</w:t>
            </w:r>
            <w:bookmarkStart w:id="0" w:name="_GoBack"/>
            <w:bookmarkEnd w:id="0"/>
          </w:p>
        </w:tc>
        <w:tc>
          <w:tcPr>
            <w:tcW w:w="1650"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2"/>
                <w:szCs w:val="22"/>
              </w:rPr>
              <w:t>对水利生产经营单位安全生产的监督检查</w:t>
            </w:r>
          </w:p>
        </w:tc>
        <w:tc>
          <w:tcPr>
            <w:tcW w:w="11913" w:type="dxa"/>
            <w:tcBorders>
              <w:top w:val="nil"/>
              <w:left w:val="nil"/>
              <w:bottom w:val="single" w:color="000000" w:sz="6" w:space="0"/>
              <w:right w:val="single" w:color="000000" w:sz="6" w:space="0"/>
            </w:tcBorders>
            <w:shd w:val="clear" w:color="auto" w:fill="auto"/>
            <w:tcMar>
              <w:top w:w="0" w:type="dxa"/>
              <w:left w:w="105" w:type="dxa"/>
              <w:bottom w:w="0" w:type="dxa"/>
              <w:right w:w="105" w:type="dxa"/>
            </w:tcMar>
            <w:vAlign w:val="center"/>
          </w:tcPr>
          <w:p>
            <w:pPr>
              <w:pStyle w:val="2"/>
              <w:keepNext w:val="0"/>
              <w:keepLines w:val="0"/>
              <w:widowControl/>
              <w:suppressLineNumbers w:val="0"/>
              <w:ind w:left="0" w:firstLine="420"/>
              <w:jc w:val="both"/>
            </w:pPr>
            <w:r>
              <w:rPr>
                <w:rFonts w:hint="default" w:ascii="仿宋_GB2312" w:hAnsi="Calibri" w:eastAsia="仿宋_GB2312" w:cs="仿宋_GB2312"/>
                <w:i w:val="0"/>
                <w:iCs w:val="0"/>
                <w:color w:val="000000"/>
                <w:sz w:val="20"/>
                <w:szCs w:val="20"/>
              </w:rPr>
              <w:t>《中华人民共和国安全生产法》第十条第二款、第六十二条、第六十五条</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《水利安全生产监督管理办法（试行）》（水监督〔2021〕412号）第三条、第二十条、第二十三条</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《中华人民共和国行政许可法》第六十一条、第六十二条</w:t>
            </w:r>
            <w:r>
              <w:rPr>
                <w:rFonts w:hint="default" w:ascii="Calibri" w:hAnsi="Calibri" w:cs="Calibri"/>
                <w:sz w:val="21"/>
                <w:szCs w:val="21"/>
              </w:rPr>
              <w:br w:type="textWrapping"/>
            </w:r>
            <w:r>
              <w:rPr>
                <w:rFonts w:hint="default" w:ascii="仿宋_GB2312" w:hAnsi="Calibri" w:eastAsia="仿宋_GB2312" w:cs="仿宋_GB2312"/>
                <w:i w:val="0"/>
                <w:iCs w:val="0"/>
                <w:color w:val="000000"/>
                <w:sz w:val="20"/>
                <w:szCs w:val="20"/>
              </w:rPr>
              <w:t>《水利水电工程施工企业主要负责人、项目负责人和专职安全生产管理人员安全生产考核管理办法》（水监督〔2022〕326号）第二十六条第二款</w:t>
            </w:r>
          </w:p>
        </w:tc>
      </w:tr>
    </w:tbl>
    <w:p/>
    <w:sectPr>
      <w:pgSz w:w="16838" w:h="11906" w:orient="landscape"/>
      <w:pgMar w:top="1304" w:right="1417" w:bottom="1304"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C176C7"/>
    <w:rsid w:val="08C176C7"/>
    <w:rsid w:val="5E2C70D8"/>
    <w:rsid w:val="60D55CDA"/>
    <w:rsid w:val="7FB87A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2025-11-05T01:23:00Z</dcterms:created>
  <dc:creator>Administrator</dc:creator>
  <cp:lastModifiedBy>Administrator</cp:lastModifiedBy>
  <dcterms:modified xsi:type="dcterms:W3CDTF">2025-11-07T02:53:13Z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5643322CD8A3496492490922E9153015</vt:lpwstr>
  </property>
</Properties>
</file>