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before="130" w:line="219" w:lineRule="auto"/>
        <w:ind w:left="3820"/>
        <w:outlineLvl w:val="0"/>
        <w:rPr>
          <w:rFonts w:hint="eastAsia" w:ascii="宋体" w:hAnsi="宋体" w:eastAsia="宋体" w:cs="宋体"/>
          <w:sz w:val="40"/>
          <w:szCs w:val="40"/>
          <w:lang w:eastAsia="zh-CN"/>
        </w:rPr>
      </w:pPr>
      <w:r>
        <w:rPr>
          <w:rFonts w:hint="eastAsia" w:ascii="宋体" w:hAnsi="宋体" w:eastAsia="宋体" w:cs="宋体"/>
          <w:b/>
          <w:bCs/>
          <w:spacing w:val="-6"/>
          <w:sz w:val="40"/>
          <w:szCs w:val="40"/>
          <w:lang w:eastAsia="zh-CN"/>
        </w:rPr>
        <w:t>井陉县</w:t>
      </w:r>
      <w:r>
        <w:rPr>
          <w:rFonts w:ascii="宋体" w:hAnsi="宋体" w:eastAsia="宋体" w:cs="宋体"/>
          <w:b/>
          <w:bCs/>
          <w:spacing w:val="-6"/>
          <w:sz w:val="40"/>
          <w:szCs w:val="40"/>
        </w:rPr>
        <w:t>商务</w:t>
      </w:r>
      <w:r>
        <w:rPr>
          <w:rFonts w:hint="eastAsia" w:ascii="宋体" w:hAnsi="宋体" w:eastAsia="宋体" w:cs="宋体"/>
          <w:b/>
          <w:bCs/>
          <w:spacing w:val="-6"/>
          <w:sz w:val="40"/>
          <w:szCs w:val="40"/>
          <w:lang w:eastAsia="zh-CN"/>
        </w:rPr>
        <w:t>局</w:t>
      </w:r>
      <w:r>
        <w:rPr>
          <w:rFonts w:ascii="宋体" w:hAnsi="宋体" w:eastAsia="宋体" w:cs="宋体"/>
          <w:b/>
          <w:bCs/>
          <w:spacing w:val="-6"/>
          <w:sz w:val="40"/>
          <w:szCs w:val="40"/>
        </w:rPr>
        <w:t>涉企行政检查</w:t>
      </w:r>
      <w:r>
        <w:rPr>
          <w:rFonts w:hint="eastAsia" w:ascii="宋体" w:hAnsi="宋体" w:eastAsia="宋体" w:cs="宋体"/>
          <w:b/>
          <w:bCs/>
          <w:spacing w:val="-6"/>
          <w:sz w:val="40"/>
          <w:szCs w:val="40"/>
          <w:lang w:eastAsia="zh-CN"/>
        </w:rPr>
        <w:t>标准</w:t>
      </w:r>
    </w:p>
    <w:p>
      <w:pPr>
        <w:spacing w:line="119" w:lineRule="exact"/>
      </w:pPr>
    </w:p>
    <w:tbl>
      <w:tblPr>
        <w:tblStyle w:val="7"/>
        <w:tblW w:w="1261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4"/>
        <w:gridCol w:w="1719"/>
        <w:gridCol w:w="8114"/>
        <w:gridCol w:w="20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754" w:type="dxa"/>
            <w:vAlign w:val="top"/>
          </w:tcPr>
          <w:p>
            <w:pPr>
              <w:pStyle w:val="8"/>
              <w:spacing w:before="191" w:line="221" w:lineRule="auto"/>
              <w:ind w:left="177"/>
              <w:rPr>
                <w:rFonts w:hint="eastAsia" w:ascii="方正仿宋简体" w:hAnsi="方正仿宋简体" w:eastAsia="方正仿宋简体" w:cs="方正仿宋简体"/>
                <w:sz w:val="19"/>
                <w:szCs w:val="19"/>
              </w:rPr>
            </w:pPr>
            <w:r>
              <w:rPr>
                <w:rFonts w:hint="eastAsia" w:ascii="方正仿宋简体" w:hAnsi="方正仿宋简体" w:eastAsia="方正仿宋简体" w:cs="方正仿宋简体"/>
                <w:b/>
                <w:bCs/>
                <w:spacing w:val="-4"/>
                <w:sz w:val="19"/>
                <w:szCs w:val="19"/>
              </w:rPr>
              <w:t>序号</w:t>
            </w:r>
          </w:p>
        </w:tc>
        <w:tc>
          <w:tcPr>
            <w:tcW w:w="1719" w:type="dxa"/>
            <w:vAlign w:val="center"/>
          </w:tcPr>
          <w:p>
            <w:pPr>
              <w:pStyle w:val="8"/>
              <w:spacing w:before="10" w:line="219" w:lineRule="auto"/>
              <w:ind w:left="473"/>
              <w:jc w:val="both"/>
              <w:rPr>
                <w:rFonts w:hint="eastAsia" w:ascii="方正仿宋简体" w:hAnsi="方正仿宋简体" w:eastAsia="方正仿宋简体" w:cs="方正仿宋简体"/>
                <w:sz w:val="19"/>
                <w:szCs w:val="19"/>
              </w:rPr>
            </w:pPr>
            <w:r>
              <w:rPr>
                <w:rFonts w:hint="eastAsia" w:ascii="方正仿宋简体" w:hAnsi="方正仿宋简体" w:eastAsia="方正仿宋简体" w:cs="方正仿宋简体"/>
                <w:b/>
                <w:bCs/>
                <w:spacing w:val="-4"/>
                <w:sz w:val="19"/>
                <w:szCs w:val="19"/>
              </w:rPr>
              <w:t>行政检查</w:t>
            </w:r>
          </w:p>
          <w:p>
            <w:pPr>
              <w:pStyle w:val="8"/>
              <w:spacing w:before="75" w:line="220" w:lineRule="auto"/>
              <w:ind w:left="663"/>
              <w:jc w:val="both"/>
              <w:rPr>
                <w:rFonts w:hint="eastAsia" w:ascii="方正仿宋简体" w:hAnsi="方正仿宋简体" w:eastAsia="方正仿宋简体" w:cs="方正仿宋简体"/>
                <w:sz w:val="19"/>
                <w:szCs w:val="19"/>
              </w:rPr>
            </w:pPr>
            <w:r>
              <w:rPr>
                <w:rFonts w:hint="eastAsia" w:ascii="方正仿宋简体" w:hAnsi="方正仿宋简体" w:eastAsia="方正仿宋简体" w:cs="方正仿宋简体"/>
                <w:b/>
                <w:bCs/>
                <w:spacing w:val="-4"/>
                <w:sz w:val="19"/>
                <w:szCs w:val="19"/>
              </w:rPr>
              <w:t>事项</w:t>
            </w:r>
          </w:p>
        </w:tc>
        <w:tc>
          <w:tcPr>
            <w:tcW w:w="8114" w:type="dxa"/>
            <w:vAlign w:val="top"/>
          </w:tcPr>
          <w:p>
            <w:pPr>
              <w:pStyle w:val="8"/>
              <w:spacing w:before="190" w:line="219" w:lineRule="auto"/>
              <w:ind w:left="3484"/>
              <w:rPr>
                <w:rFonts w:hint="eastAsia" w:ascii="方正仿宋简体" w:hAnsi="方正仿宋简体" w:eastAsia="方正仿宋简体" w:cs="方正仿宋简体"/>
                <w:sz w:val="19"/>
                <w:szCs w:val="19"/>
              </w:rPr>
            </w:pPr>
            <w:r>
              <w:rPr>
                <w:rFonts w:hint="eastAsia" w:ascii="方正仿宋简体" w:hAnsi="方正仿宋简体" w:eastAsia="方正仿宋简体" w:cs="方正仿宋简体"/>
                <w:b/>
                <w:bCs/>
                <w:spacing w:val="-4"/>
                <w:sz w:val="19"/>
                <w:szCs w:val="19"/>
              </w:rPr>
              <w:t>行政检查标准</w:t>
            </w:r>
          </w:p>
        </w:tc>
        <w:tc>
          <w:tcPr>
            <w:tcW w:w="2023" w:type="dxa"/>
            <w:vAlign w:val="top"/>
          </w:tcPr>
          <w:p>
            <w:pPr>
              <w:pStyle w:val="8"/>
              <w:spacing w:before="188" w:line="219" w:lineRule="auto"/>
              <w:ind w:left="440"/>
              <w:rPr>
                <w:rFonts w:hint="eastAsia" w:ascii="方正仿宋简体" w:hAnsi="方正仿宋简体" w:eastAsia="方正仿宋简体" w:cs="方正仿宋简体"/>
                <w:sz w:val="19"/>
                <w:szCs w:val="19"/>
              </w:rPr>
            </w:pPr>
            <w:r>
              <w:rPr>
                <w:rFonts w:hint="eastAsia" w:ascii="方正仿宋简体" w:hAnsi="方正仿宋简体" w:eastAsia="方正仿宋简体" w:cs="方正仿宋简体"/>
                <w:b/>
                <w:bCs/>
                <w:spacing w:val="-4"/>
                <w:sz w:val="19"/>
                <w:szCs w:val="19"/>
              </w:rPr>
              <w:t>行政检查依据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66" w:hRule="atLeast"/>
        </w:trPr>
        <w:tc>
          <w:tcPr>
            <w:tcW w:w="754" w:type="dxa"/>
            <w:vAlign w:val="top"/>
          </w:tcPr>
          <w:p>
            <w:pPr>
              <w:spacing w:line="248" w:lineRule="auto"/>
              <w:rPr>
                <w:rFonts w:hint="eastAsia" w:ascii="方正仿宋简体" w:hAnsi="方正仿宋简体" w:eastAsia="方正仿宋简体" w:cs="方正仿宋简体"/>
                <w:b/>
                <w:bCs/>
                <w:sz w:val="19"/>
                <w:szCs w:val="19"/>
                <w:highlight w:val="none"/>
              </w:rPr>
            </w:pPr>
            <w:bookmarkStart w:id="0" w:name="_GoBack"/>
          </w:p>
          <w:p>
            <w:pPr>
              <w:spacing w:line="248" w:lineRule="auto"/>
              <w:rPr>
                <w:rFonts w:hint="eastAsia" w:ascii="方正仿宋简体" w:hAnsi="方正仿宋简体" w:eastAsia="方正仿宋简体" w:cs="方正仿宋简体"/>
                <w:b/>
                <w:bCs/>
                <w:sz w:val="19"/>
                <w:szCs w:val="19"/>
                <w:highlight w:val="none"/>
              </w:rPr>
            </w:pPr>
          </w:p>
          <w:p>
            <w:pPr>
              <w:spacing w:line="248" w:lineRule="auto"/>
              <w:rPr>
                <w:rFonts w:hint="eastAsia" w:ascii="方正仿宋简体" w:hAnsi="方正仿宋简体" w:eastAsia="方正仿宋简体" w:cs="方正仿宋简体"/>
                <w:b/>
                <w:bCs/>
                <w:sz w:val="19"/>
                <w:szCs w:val="19"/>
                <w:highlight w:val="none"/>
              </w:rPr>
            </w:pPr>
          </w:p>
          <w:p>
            <w:pPr>
              <w:spacing w:line="248" w:lineRule="auto"/>
              <w:rPr>
                <w:rFonts w:hint="eastAsia" w:ascii="方正仿宋简体" w:hAnsi="方正仿宋简体" w:eastAsia="方正仿宋简体" w:cs="方正仿宋简体"/>
                <w:b/>
                <w:bCs/>
                <w:sz w:val="19"/>
                <w:szCs w:val="19"/>
                <w:highlight w:val="none"/>
              </w:rPr>
            </w:pPr>
          </w:p>
          <w:p>
            <w:pPr>
              <w:spacing w:line="248" w:lineRule="auto"/>
              <w:rPr>
                <w:rFonts w:hint="eastAsia" w:ascii="方正仿宋简体" w:hAnsi="方正仿宋简体" w:eastAsia="方正仿宋简体" w:cs="方正仿宋简体"/>
                <w:b/>
                <w:bCs/>
                <w:sz w:val="19"/>
                <w:szCs w:val="19"/>
                <w:highlight w:val="none"/>
              </w:rPr>
            </w:pPr>
          </w:p>
          <w:p>
            <w:pPr>
              <w:spacing w:line="248" w:lineRule="auto"/>
              <w:rPr>
                <w:rFonts w:hint="eastAsia" w:ascii="方正仿宋简体" w:hAnsi="方正仿宋简体" w:eastAsia="方正仿宋简体" w:cs="方正仿宋简体"/>
                <w:b/>
                <w:bCs/>
                <w:sz w:val="19"/>
                <w:szCs w:val="19"/>
                <w:highlight w:val="none"/>
              </w:rPr>
            </w:pPr>
          </w:p>
          <w:p>
            <w:pPr>
              <w:spacing w:line="248" w:lineRule="auto"/>
              <w:rPr>
                <w:rFonts w:hint="eastAsia" w:ascii="方正仿宋简体" w:hAnsi="方正仿宋简体" w:eastAsia="方正仿宋简体" w:cs="方正仿宋简体"/>
                <w:b/>
                <w:bCs/>
                <w:sz w:val="19"/>
                <w:szCs w:val="19"/>
                <w:highlight w:val="none"/>
              </w:rPr>
            </w:pPr>
          </w:p>
          <w:p>
            <w:pPr>
              <w:spacing w:line="248" w:lineRule="auto"/>
              <w:rPr>
                <w:rFonts w:hint="eastAsia" w:ascii="方正仿宋简体" w:hAnsi="方正仿宋简体" w:eastAsia="方正仿宋简体" w:cs="方正仿宋简体"/>
                <w:b/>
                <w:bCs/>
                <w:sz w:val="19"/>
                <w:szCs w:val="19"/>
                <w:highlight w:val="none"/>
              </w:rPr>
            </w:pPr>
          </w:p>
          <w:p>
            <w:pPr>
              <w:spacing w:line="248" w:lineRule="auto"/>
              <w:rPr>
                <w:rFonts w:hint="eastAsia" w:ascii="方正仿宋简体" w:hAnsi="方正仿宋简体" w:eastAsia="方正仿宋简体" w:cs="方正仿宋简体"/>
                <w:b/>
                <w:bCs/>
                <w:sz w:val="19"/>
                <w:szCs w:val="19"/>
                <w:highlight w:val="none"/>
              </w:rPr>
            </w:pPr>
          </w:p>
          <w:p>
            <w:pPr>
              <w:spacing w:line="248" w:lineRule="auto"/>
              <w:rPr>
                <w:rFonts w:hint="eastAsia" w:ascii="方正仿宋简体" w:hAnsi="方正仿宋简体" w:eastAsia="方正仿宋简体" w:cs="方正仿宋简体"/>
                <w:b/>
                <w:bCs/>
                <w:sz w:val="19"/>
                <w:szCs w:val="19"/>
                <w:highlight w:val="none"/>
              </w:rPr>
            </w:pPr>
          </w:p>
          <w:p>
            <w:pPr>
              <w:pStyle w:val="8"/>
              <w:spacing w:before="62" w:line="241" w:lineRule="auto"/>
              <w:ind w:left="317"/>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color w:val="405050"/>
                <w:spacing w:val="-2"/>
                <w:sz w:val="19"/>
                <w:szCs w:val="19"/>
                <w:highlight w:val="none"/>
              </w:rPr>
              <w:t>1</w:t>
            </w:r>
          </w:p>
        </w:tc>
        <w:tc>
          <w:tcPr>
            <w:tcW w:w="1719" w:type="dxa"/>
            <w:vAlign w:val="top"/>
          </w:tcPr>
          <w:p>
            <w:pPr>
              <w:spacing w:line="244" w:lineRule="auto"/>
              <w:jc w:val="both"/>
              <w:rPr>
                <w:rFonts w:hint="eastAsia" w:ascii="方正仿宋简体" w:hAnsi="方正仿宋简体" w:eastAsia="方正仿宋简体" w:cs="方正仿宋简体"/>
                <w:b/>
                <w:bCs/>
                <w:sz w:val="19"/>
                <w:szCs w:val="19"/>
                <w:highlight w:val="none"/>
              </w:rPr>
            </w:pPr>
          </w:p>
          <w:p>
            <w:pPr>
              <w:spacing w:line="244" w:lineRule="auto"/>
              <w:jc w:val="both"/>
              <w:rPr>
                <w:rFonts w:hint="eastAsia" w:ascii="方正仿宋简体" w:hAnsi="方正仿宋简体" w:eastAsia="方正仿宋简体" w:cs="方正仿宋简体"/>
                <w:b/>
                <w:bCs/>
                <w:sz w:val="19"/>
                <w:szCs w:val="19"/>
                <w:highlight w:val="none"/>
              </w:rPr>
            </w:pPr>
          </w:p>
          <w:p>
            <w:pPr>
              <w:spacing w:line="244" w:lineRule="auto"/>
              <w:jc w:val="both"/>
              <w:rPr>
                <w:rFonts w:hint="eastAsia" w:ascii="方正仿宋简体" w:hAnsi="方正仿宋简体" w:eastAsia="方正仿宋简体" w:cs="方正仿宋简体"/>
                <w:b/>
                <w:bCs/>
                <w:sz w:val="19"/>
                <w:szCs w:val="19"/>
                <w:highlight w:val="none"/>
              </w:rPr>
            </w:pPr>
          </w:p>
          <w:p>
            <w:pPr>
              <w:spacing w:line="244" w:lineRule="auto"/>
              <w:jc w:val="both"/>
              <w:rPr>
                <w:rFonts w:hint="eastAsia" w:ascii="方正仿宋简体" w:hAnsi="方正仿宋简体" w:eastAsia="方正仿宋简体" w:cs="方正仿宋简体"/>
                <w:b/>
                <w:bCs/>
                <w:sz w:val="19"/>
                <w:szCs w:val="19"/>
                <w:highlight w:val="none"/>
              </w:rPr>
            </w:pPr>
          </w:p>
          <w:p>
            <w:pPr>
              <w:spacing w:line="244" w:lineRule="auto"/>
              <w:jc w:val="both"/>
              <w:rPr>
                <w:rFonts w:hint="eastAsia" w:ascii="方正仿宋简体" w:hAnsi="方正仿宋简体" w:eastAsia="方正仿宋简体" w:cs="方正仿宋简体"/>
                <w:b/>
                <w:bCs/>
                <w:sz w:val="19"/>
                <w:szCs w:val="19"/>
                <w:highlight w:val="none"/>
              </w:rPr>
            </w:pPr>
          </w:p>
          <w:p>
            <w:pPr>
              <w:spacing w:line="244" w:lineRule="auto"/>
              <w:jc w:val="both"/>
              <w:rPr>
                <w:rFonts w:hint="eastAsia" w:ascii="方正仿宋简体" w:hAnsi="方正仿宋简体" w:eastAsia="方正仿宋简体" w:cs="方正仿宋简体"/>
                <w:b/>
                <w:bCs/>
                <w:sz w:val="19"/>
                <w:szCs w:val="19"/>
                <w:highlight w:val="none"/>
              </w:rPr>
            </w:pPr>
          </w:p>
          <w:p>
            <w:pPr>
              <w:spacing w:line="245" w:lineRule="auto"/>
              <w:jc w:val="both"/>
              <w:rPr>
                <w:rFonts w:hint="eastAsia" w:ascii="方正仿宋简体" w:hAnsi="方正仿宋简体" w:eastAsia="方正仿宋简体" w:cs="方正仿宋简体"/>
                <w:b/>
                <w:bCs/>
                <w:sz w:val="19"/>
                <w:szCs w:val="19"/>
                <w:highlight w:val="none"/>
              </w:rPr>
            </w:pPr>
          </w:p>
          <w:p>
            <w:pPr>
              <w:spacing w:line="245" w:lineRule="auto"/>
              <w:jc w:val="both"/>
              <w:rPr>
                <w:rFonts w:hint="eastAsia" w:ascii="方正仿宋简体" w:hAnsi="方正仿宋简体" w:eastAsia="方正仿宋简体" w:cs="方正仿宋简体"/>
                <w:b/>
                <w:bCs/>
                <w:sz w:val="19"/>
                <w:szCs w:val="19"/>
                <w:highlight w:val="none"/>
              </w:rPr>
            </w:pPr>
          </w:p>
          <w:p>
            <w:pPr>
              <w:spacing w:line="245" w:lineRule="auto"/>
              <w:jc w:val="both"/>
              <w:rPr>
                <w:rFonts w:hint="eastAsia" w:ascii="方正仿宋简体" w:hAnsi="方正仿宋简体" w:eastAsia="方正仿宋简体" w:cs="方正仿宋简体"/>
                <w:b/>
                <w:bCs/>
                <w:sz w:val="19"/>
                <w:szCs w:val="19"/>
                <w:highlight w:val="none"/>
              </w:rPr>
            </w:pPr>
          </w:p>
          <w:p>
            <w:pPr>
              <w:pStyle w:val="8"/>
              <w:spacing w:before="62" w:line="269" w:lineRule="auto"/>
              <w:ind w:left="93" w:right="81"/>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
                <w:sz w:val="19"/>
                <w:szCs w:val="19"/>
                <w:highlight w:val="none"/>
              </w:rPr>
              <w:t>对一次性塑料制品</w:t>
            </w:r>
            <w:r>
              <w:rPr>
                <w:rFonts w:hint="eastAsia" w:ascii="方正仿宋简体" w:hAnsi="方正仿宋简体" w:eastAsia="方正仿宋简体" w:cs="方正仿宋简体"/>
                <w:b/>
                <w:bCs/>
                <w:spacing w:val="-4"/>
                <w:sz w:val="19"/>
                <w:szCs w:val="19"/>
                <w:highlight w:val="none"/>
              </w:rPr>
              <w:t>使用、回收报告情</w:t>
            </w:r>
            <w:r>
              <w:rPr>
                <w:rFonts w:hint="eastAsia" w:ascii="方正仿宋简体" w:hAnsi="方正仿宋简体" w:eastAsia="方正仿宋简体" w:cs="方正仿宋简体"/>
                <w:b/>
                <w:bCs/>
                <w:spacing w:val="-2"/>
                <w:sz w:val="19"/>
                <w:szCs w:val="19"/>
                <w:highlight w:val="none"/>
              </w:rPr>
              <w:t>况的检查</w:t>
            </w:r>
          </w:p>
        </w:tc>
        <w:tc>
          <w:tcPr>
            <w:tcW w:w="8114" w:type="dxa"/>
            <w:vAlign w:val="top"/>
          </w:tcPr>
          <w:p>
            <w:pPr>
              <w:pStyle w:val="8"/>
              <w:spacing w:before="26" w:line="244" w:lineRule="auto"/>
              <w:ind w:left="84"/>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1"/>
                <w:sz w:val="19"/>
                <w:szCs w:val="19"/>
                <w:highlight w:val="none"/>
              </w:rPr>
              <w:t>1</w:t>
            </w:r>
            <w:r>
              <w:rPr>
                <w:rFonts w:hint="eastAsia" w:ascii="方正仿宋简体" w:hAnsi="方正仿宋简体" w:eastAsia="方正仿宋简体" w:cs="方正仿宋简体"/>
                <w:b/>
                <w:bCs/>
                <w:spacing w:val="-10"/>
                <w:sz w:val="19"/>
                <w:szCs w:val="19"/>
                <w:highlight w:val="none"/>
              </w:rPr>
              <w:t>.商务领域经营者是否在其经营场所或网站的醒目位置张贴、摆放或设置国家禁限使用规定的标语</w:t>
            </w:r>
            <w:r>
              <w:rPr>
                <w:rFonts w:hint="eastAsia" w:ascii="方正仿宋简体" w:hAnsi="方正仿宋简体" w:eastAsia="方正仿宋简体" w:cs="方正仿宋简体"/>
                <w:b/>
                <w:bCs/>
                <w:spacing w:val="-9"/>
                <w:sz w:val="19"/>
                <w:szCs w:val="19"/>
                <w:highlight w:val="none"/>
              </w:rPr>
              <w:t>或</w:t>
            </w:r>
            <w:r>
              <w:rPr>
                <w:rFonts w:hint="eastAsia" w:ascii="方正仿宋简体" w:hAnsi="方正仿宋简体" w:eastAsia="方正仿宋简体" w:cs="方正仿宋简体"/>
                <w:b/>
                <w:bCs/>
                <w:spacing w:val="-1"/>
                <w:sz w:val="19"/>
                <w:szCs w:val="19"/>
                <w:highlight w:val="none"/>
              </w:rPr>
              <w:t>者链接标识。(《商务领域经营者使用、报告一次性塑料制品管理办法</w:t>
            </w:r>
            <w:r>
              <w:rPr>
                <w:rFonts w:hint="eastAsia" w:ascii="方正仿宋简体" w:hAnsi="方正仿宋简体" w:eastAsia="方正仿宋简体" w:cs="方正仿宋简体"/>
                <w:b/>
                <w:bCs/>
                <w:spacing w:val="-2"/>
                <w:sz w:val="19"/>
                <w:szCs w:val="19"/>
                <w:highlight w:val="none"/>
              </w:rPr>
              <w:t>》第八条)</w:t>
            </w:r>
          </w:p>
          <w:p>
            <w:pPr>
              <w:pStyle w:val="8"/>
              <w:spacing w:before="57" w:line="244" w:lineRule="auto"/>
              <w:ind w:left="143" w:hanging="5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9"/>
                <w:sz w:val="19"/>
                <w:szCs w:val="19"/>
                <w:highlight w:val="none"/>
              </w:rPr>
              <w:t>2.商品零售场所开办单位、电子商务平台(含外卖平台)</w:t>
            </w:r>
            <w:r>
              <w:rPr>
                <w:rFonts w:hint="eastAsia" w:ascii="方正仿宋简体" w:hAnsi="方正仿宋简体" w:eastAsia="方正仿宋简体" w:cs="方正仿宋简体"/>
                <w:b/>
                <w:bCs/>
                <w:spacing w:val="-10"/>
                <w:sz w:val="19"/>
                <w:szCs w:val="19"/>
                <w:highlight w:val="none"/>
              </w:rPr>
              <w:t>企业的入驻经营者是否按规定作出自律承诺。</w:t>
            </w:r>
            <w:r>
              <w:rPr>
                <w:rFonts w:hint="eastAsia" w:ascii="方正仿宋简体" w:hAnsi="方正仿宋简体" w:eastAsia="方正仿宋简体" w:cs="方正仿宋简体"/>
                <w:b/>
                <w:bCs/>
                <w:spacing w:val="-3"/>
                <w:sz w:val="19"/>
                <w:szCs w:val="19"/>
                <w:highlight w:val="none"/>
              </w:rPr>
              <w:t>(《商务领域经营者使用、报告一次性塑料制品管理办法》第十二条)</w:t>
            </w:r>
          </w:p>
          <w:p>
            <w:pPr>
              <w:pStyle w:val="8"/>
              <w:spacing w:before="46" w:line="251" w:lineRule="auto"/>
              <w:ind w:left="14" w:firstLine="7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6"/>
                <w:sz w:val="19"/>
                <w:szCs w:val="19"/>
                <w:highlight w:val="none"/>
              </w:rPr>
              <w:t>3.商品零售场所开办单位、电子商务平台(含外卖平台)企业、外卖企业是否每半年报告一次性塑料</w:t>
            </w:r>
            <w:r>
              <w:rPr>
                <w:rFonts w:hint="eastAsia" w:ascii="方正仿宋简体" w:hAnsi="方正仿宋简体" w:eastAsia="方正仿宋简体" w:cs="方正仿宋简体"/>
                <w:b/>
                <w:bCs/>
                <w:spacing w:val="-2"/>
                <w:sz w:val="19"/>
                <w:szCs w:val="19"/>
                <w:highlight w:val="none"/>
              </w:rPr>
              <w:t>制品使用、回收情况，报告是否真实、完整，上半年报告是否于当年7月3</w:t>
            </w:r>
            <w:r>
              <w:rPr>
                <w:rFonts w:hint="eastAsia" w:ascii="方正仿宋简体" w:hAnsi="方正仿宋简体" w:eastAsia="方正仿宋简体" w:cs="方正仿宋简体"/>
                <w:b/>
                <w:bCs/>
                <w:spacing w:val="-3"/>
                <w:sz w:val="19"/>
                <w:szCs w:val="19"/>
                <w:highlight w:val="none"/>
              </w:rPr>
              <w:t>1日前完成，下半年报告</w:t>
            </w:r>
            <w:r>
              <w:rPr>
                <w:rFonts w:hint="eastAsia" w:ascii="方正仿宋简体" w:hAnsi="方正仿宋简体" w:eastAsia="方正仿宋简体" w:cs="方正仿宋简体"/>
                <w:b/>
                <w:bCs/>
                <w:spacing w:val="-1"/>
                <w:sz w:val="19"/>
                <w:szCs w:val="19"/>
                <w:highlight w:val="none"/>
              </w:rPr>
              <w:t>是否于次年的1月31日前完成。(《中华人民共和国固体废物污染环境防治法》</w:t>
            </w:r>
            <w:r>
              <w:rPr>
                <w:rFonts w:hint="eastAsia" w:ascii="方正仿宋简体" w:hAnsi="方正仿宋简体" w:eastAsia="方正仿宋简体" w:cs="方正仿宋简体"/>
                <w:b/>
                <w:bCs/>
                <w:spacing w:val="-2"/>
                <w:sz w:val="19"/>
                <w:szCs w:val="19"/>
                <w:highlight w:val="none"/>
              </w:rPr>
              <w:t>第六十九条、《商</w:t>
            </w:r>
            <w:r>
              <w:rPr>
                <w:rFonts w:hint="eastAsia" w:ascii="方正仿宋简体" w:hAnsi="方正仿宋简体" w:eastAsia="方正仿宋简体" w:cs="方正仿宋简体"/>
                <w:b/>
                <w:bCs/>
                <w:spacing w:val="2"/>
                <w:sz w:val="19"/>
                <w:szCs w:val="19"/>
                <w:highlight w:val="none"/>
              </w:rPr>
              <w:t>务领域经营者使用、报告一次性塑料制品管理办法》第</w:t>
            </w:r>
            <w:r>
              <w:rPr>
                <w:rFonts w:hint="eastAsia" w:ascii="方正仿宋简体" w:hAnsi="方正仿宋简体" w:eastAsia="方正仿宋简体" w:cs="方正仿宋简体"/>
                <w:b/>
                <w:bCs/>
                <w:spacing w:val="1"/>
                <w:sz w:val="19"/>
                <w:szCs w:val="19"/>
                <w:highlight w:val="none"/>
              </w:rPr>
              <w:t>十六条)</w:t>
            </w:r>
          </w:p>
          <w:p>
            <w:pPr>
              <w:pStyle w:val="8"/>
              <w:spacing w:before="77" w:line="236" w:lineRule="auto"/>
              <w:ind w:left="94"/>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8"/>
                <w:sz w:val="19"/>
                <w:szCs w:val="19"/>
                <w:highlight w:val="none"/>
              </w:rPr>
              <w:t>4.商品零售场所经营者在塑料购物袋有偿使用过程中的经营行为是否符合规定。(《商品零售场所塑</w:t>
            </w:r>
            <w:r>
              <w:rPr>
                <w:rFonts w:hint="eastAsia" w:ascii="方正仿宋简体" w:hAnsi="方正仿宋简体" w:eastAsia="方正仿宋简体" w:cs="方正仿宋简体"/>
                <w:b/>
                <w:bCs/>
                <w:spacing w:val="-1"/>
                <w:sz w:val="19"/>
                <w:szCs w:val="19"/>
                <w:highlight w:val="none"/>
              </w:rPr>
              <w:t>料购物袋有偿使用管理办法》第四条)</w:t>
            </w:r>
          </w:p>
          <w:p>
            <w:pPr>
              <w:pStyle w:val="8"/>
              <w:spacing w:before="72" w:line="255" w:lineRule="auto"/>
              <w:ind w:left="94"/>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0"/>
                <w:sz w:val="19"/>
                <w:szCs w:val="19"/>
                <w:highlight w:val="none"/>
              </w:rPr>
              <w:t>5.商品零售场所开办单位是否报告其自营、联营及其场所内经营者塑料购物袋有偿使用情况、塑料废</w:t>
            </w:r>
            <w:r>
              <w:rPr>
                <w:rFonts w:hint="eastAsia" w:ascii="方正仿宋简体" w:hAnsi="方正仿宋简体" w:eastAsia="方正仿宋简体" w:cs="方正仿宋简体"/>
                <w:b/>
                <w:bCs/>
                <w:spacing w:val="-8"/>
                <w:sz w:val="19"/>
                <w:szCs w:val="19"/>
                <w:highlight w:val="none"/>
              </w:rPr>
              <w:t>弃物回收情况和场所内经营者作出自律承诺的情况。(《商务领域经营者使用、报告一次性塑料制品</w:t>
            </w:r>
            <w:r>
              <w:rPr>
                <w:rFonts w:hint="eastAsia" w:ascii="方正仿宋简体" w:hAnsi="方正仿宋简体" w:eastAsia="方正仿宋简体" w:cs="方正仿宋简体"/>
                <w:b/>
                <w:bCs/>
                <w:sz w:val="19"/>
                <w:szCs w:val="19"/>
                <w:highlight w:val="none"/>
              </w:rPr>
              <w:t>管理办法》第十七条)</w:t>
            </w:r>
          </w:p>
          <w:p>
            <w:pPr>
              <w:pStyle w:val="8"/>
              <w:spacing w:before="53" w:line="251" w:lineRule="auto"/>
              <w:ind w:left="103" w:hanging="3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7"/>
                <w:sz w:val="19"/>
                <w:szCs w:val="19"/>
                <w:highlight w:val="none"/>
              </w:rPr>
              <w:t>6.电子商务平台企业是否报告其自营业务产生的快递塑料包装(含塑料包装袋、塑料胶</w:t>
            </w:r>
            <w:r>
              <w:rPr>
                <w:rFonts w:hint="eastAsia" w:ascii="方正仿宋简体" w:hAnsi="方正仿宋简体" w:eastAsia="方正仿宋简体" w:cs="方正仿宋简体"/>
                <w:b/>
                <w:bCs/>
                <w:spacing w:val="-8"/>
                <w:sz w:val="19"/>
                <w:szCs w:val="19"/>
                <w:highlight w:val="none"/>
              </w:rPr>
              <w:t>带、一次性塑料编织袋等)的使用情况、塑料废弃物回收情况和平台内经营者作出自律承诺的情况；是否按</w:t>
            </w:r>
            <w:r>
              <w:rPr>
                <w:rFonts w:hint="eastAsia" w:ascii="方正仿宋简体" w:hAnsi="方正仿宋简体" w:eastAsia="方正仿宋简体" w:cs="方正仿宋简体"/>
                <w:b/>
                <w:bCs/>
                <w:spacing w:val="-9"/>
                <w:sz w:val="19"/>
                <w:szCs w:val="19"/>
                <w:highlight w:val="none"/>
              </w:rPr>
              <w:t>照报告</w:t>
            </w:r>
            <w:r>
              <w:rPr>
                <w:rFonts w:hint="eastAsia" w:ascii="方正仿宋简体" w:hAnsi="方正仿宋简体" w:eastAsia="方正仿宋简体" w:cs="方正仿宋简体"/>
                <w:b/>
                <w:bCs/>
                <w:spacing w:val="-2"/>
                <w:sz w:val="19"/>
                <w:szCs w:val="19"/>
                <w:highlight w:val="none"/>
              </w:rPr>
              <w:t>期开展总体评估.(《商务领域经营者使用、</w:t>
            </w:r>
            <w:r>
              <w:rPr>
                <w:rFonts w:hint="eastAsia" w:ascii="方正仿宋简体" w:hAnsi="方正仿宋简体" w:eastAsia="方正仿宋简体" w:cs="方正仿宋简体"/>
                <w:b/>
                <w:bCs/>
                <w:spacing w:val="-3"/>
                <w:sz w:val="19"/>
                <w:szCs w:val="19"/>
                <w:highlight w:val="none"/>
              </w:rPr>
              <w:t>报告一次性塑料制品管理办法》第十八条)</w:t>
            </w:r>
          </w:p>
          <w:p>
            <w:pPr>
              <w:pStyle w:val="8"/>
              <w:spacing w:before="56" w:line="253" w:lineRule="auto"/>
              <w:ind w:left="103" w:hanging="2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1"/>
                <w:sz w:val="19"/>
                <w:szCs w:val="19"/>
                <w:highlight w:val="none"/>
              </w:rPr>
              <w:t>7.外卖企业是否报告塑料购物袋、一次性塑料餐具、一次性可降解塑料吸管使用情况和塑料废弃物回</w:t>
            </w:r>
            <w:r>
              <w:rPr>
                <w:rFonts w:hint="eastAsia" w:ascii="方正仿宋简体" w:hAnsi="方正仿宋简体" w:eastAsia="方正仿宋简体" w:cs="方正仿宋简体"/>
                <w:b/>
                <w:bCs/>
                <w:spacing w:val="-8"/>
                <w:sz w:val="19"/>
                <w:szCs w:val="19"/>
                <w:highlight w:val="none"/>
              </w:rPr>
              <w:t>收情况：是否按照报告期开展总体评估。(《商务领域经营者使用、报告一次性塑料制品管理</w:t>
            </w:r>
            <w:r>
              <w:rPr>
                <w:rFonts w:hint="eastAsia" w:ascii="方正仿宋简体" w:hAnsi="方正仿宋简体" w:eastAsia="方正仿宋简体" w:cs="方正仿宋简体"/>
                <w:b/>
                <w:bCs/>
                <w:spacing w:val="-9"/>
                <w:sz w:val="19"/>
                <w:szCs w:val="19"/>
                <w:highlight w:val="none"/>
              </w:rPr>
              <w:t>办法》</w:t>
            </w:r>
            <w:r>
              <w:rPr>
                <w:rFonts w:hint="eastAsia" w:ascii="方正仿宋简体" w:hAnsi="方正仿宋简体" w:eastAsia="方正仿宋简体" w:cs="方正仿宋简体"/>
                <w:b/>
                <w:bCs/>
                <w:spacing w:val="4"/>
                <w:sz w:val="19"/>
                <w:szCs w:val="19"/>
                <w:highlight w:val="none"/>
              </w:rPr>
              <w:t>第十九条)</w:t>
            </w:r>
          </w:p>
        </w:tc>
        <w:tc>
          <w:tcPr>
            <w:tcW w:w="2023" w:type="dxa"/>
            <w:vAlign w:val="top"/>
          </w:tcPr>
          <w:p>
            <w:pPr>
              <w:spacing w:line="270" w:lineRule="auto"/>
              <w:jc w:val="both"/>
              <w:rPr>
                <w:rFonts w:hint="eastAsia" w:ascii="方正仿宋简体" w:hAnsi="方正仿宋简体" w:eastAsia="方正仿宋简体" w:cs="方正仿宋简体"/>
                <w:b/>
                <w:bCs/>
                <w:sz w:val="19"/>
                <w:szCs w:val="19"/>
                <w:highlight w:val="none"/>
              </w:rPr>
            </w:pPr>
          </w:p>
          <w:p>
            <w:pPr>
              <w:spacing w:line="270" w:lineRule="auto"/>
              <w:jc w:val="both"/>
              <w:rPr>
                <w:rFonts w:hint="eastAsia" w:ascii="方正仿宋简体" w:hAnsi="方正仿宋简体" w:eastAsia="方正仿宋简体" w:cs="方正仿宋简体"/>
                <w:b/>
                <w:bCs/>
                <w:sz w:val="19"/>
                <w:szCs w:val="19"/>
                <w:highlight w:val="none"/>
              </w:rPr>
            </w:pPr>
          </w:p>
          <w:p>
            <w:pPr>
              <w:spacing w:line="271" w:lineRule="auto"/>
              <w:jc w:val="both"/>
              <w:rPr>
                <w:rFonts w:hint="eastAsia" w:ascii="方正仿宋简体" w:hAnsi="方正仿宋简体" w:eastAsia="方正仿宋简体" w:cs="方正仿宋简体"/>
                <w:b/>
                <w:bCs/>
                <w:sz w:val="19"/>
                <w:szCs w:val="19"/>
                <w:highlight w:val="none"/>
              </w:rPr>
            </w:pPr>
          </w:p>
          <w:p>
            <w:pPr>
              <w:spacing w:line="271" w:lineRule="auto"/>
              <w:jc w:val="both"/>
              <w:rPr>
                <w:rFonts w:hint="eastAsia" w:ascii="方正仿宋简体" w:hAnsi="方正仿宋简体" w:eastAsia="方正仿宋简体" w:cs="方正仿宋简体"/>
                <w:b/>
                <w:bCs/>
                <w:sz w:val="19"/>
                <w:szCs w:val="19"/>
                <w:highlight w:val="none"/>
              </w:rPr>
            </w:pPr>
          </w:p>
          <w:p>
            <w:pPr>
              <w:spacing w:line="271" w:lineRule="auto"/>
              <w:jc w:val="both"/>
              <w:rPr>
                <w:rFonts w:hint="eastAsia" w:ascii="方正仿宋简体" w:hAnsi="方正仿宋简体" w:eastAsia="方正仿宋简体" w:cs="方正仿宋简体"/>
                <w:b/>
                <w:bCs/>
                <w:sz w:val="19"/>
                <w:szCs w:val="19"/>
                <w:highlight w:val="none"/>
              </w:rPr>
            </w:pPr>
          </w:p>
          <w:p>
            <w:pPr>
              <w:spacing w:line="271" w:lineRule="auto"/>
              <w:jc w:val="both"/>
              <w:rPr>
                <w:rFonts w:hint="eastAsia" w:ascii="方正仿宋简体" w:hAnsi="方正仿宋简体" w:eastAsia="方正仿宋简体" w:cs="方正仿宋简体"/>
                <w:b/>
                <w:bCs/>
                <w:sz w:val="19"/>
                <w:szCs w:val="19"/>
                <w:highlight w:val="none"/>
              </w:rPr>
            </w:pPr>
          </w:p>
          <w:p>
            <w:pPr>
              <w:pStyle w:val="8"/>
              <w:spacing w:before="62" w:line="271" w:lineRule="auto"/>
              <w:ind w:left="59" w:right="26" w:hanging="54"/>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4"/>
                <w:sz w:val="19"/>
                <w:szCs w:val="19"/>
                <w:highlight w:val="none"/>
              </w:rPr>
              <w:t>《中华人民共和国固体</w:t>
            </w:r>
            <w:r>
              <w:rPr>
                <w:rFonts w:hint="eastAsia" w:ascii="方正仿宋简体" w:hAnsi="方正仿宋简体" w:eastAsia="方正仿宋简体" w:cs="方正仿宋简体"/>
                <w:b/>
                <w:bCs/>
                <w:sz w:val="19"/>
                <w:szCs w:val="19"/>
                <w:highlight w:val="none"/>
              </w:rPr>
              <w:t>废物污染环境防治法》</w:t>
            </w:r>
            <w:r>
              <w:rPr>
                <w:rFonts w:hint="eastAsia" w:ascii="方正仿宋简体" w:hAnsi="方正仿宋简体" w:eastAsia="方正仿宋简体" w:cs="方正仿宋简体"/>
                <w:b/>
                <w:bCs/>
                <w:spacing w:val="1"/>
                <w:sz w:val="19"/>
                <w:szCs w:val="19"/>
                <w:highlight w:val="none"/>
              </w:rPr>
              <w:t>《商务领域经营者使</w:t>
            </w:r>
            <w:r>
              <w:rPr>
                <w:rFonts w:hint="eastAsia" w:ascii="方正仿宋简体" w:hAnsi="方正仿宋简体" w:eastAsia="方正仿宋简体" w:cs="方正仿宋简体"/>
                <w:b/>
                <w:bCs/>
                <w:spacing w:val="-3"/>
                <w:sz w:val="19"/>
                <w:szCs w:val="19"/>
                <w:highlight w:val="none"/>
              </w:rPr>
              <w:t>用、报告一次性塑料制</w:t>
            </w:r>
            <w:r>
              <w:rPr>
                <w:rFonts w:hint="eastAsia" w:ascii="方正仿宋简体" w:hAnsi="方正仿宋简体" w:eastAsia="方正仿宋简体" w:cs="方正仿宋简体"/>
                <w:b/>
                <w:bCs/>
                <w:spacing w:val="-2"/>
                <w:sz w:val="19"/>
                <w:szCs w:val="19"/>
                <w:highlight w:val="none"/>
              </w:rPr>
              <w:t>品管理办法》《商品零</w:t>
            </w:r>
            <w:r>
              <w:rPr>
                <w:rFonts w:hint="eastAsia" w:ascii="方正仿宋简体" w:hAnsi="方正仿宋简体" w:eastAsia="方正仿宋简体" w:cs="方正仿宋简体"/>
                <w:b/>
                <w:bCs/>
                <w:spacing w:val="-3"/>
                <w:sz w:val="19"/>
                <w:szCs w:val="19"/>
                <w:highlight w:val="none"/>
              </w:rPr>
              <w:t>售场所塑料购物袋有偿</w:t>
            </w:r>
            <w:r>
              <w:rPr>
                <w:rFonts w:hint="eastAsia" w:ascii="方正仿宋简体" w:hAnsi="方正仿宋简体" w:eastAsia="方正仿宋简体" w:cs="方正仿宋简体"/>
                <w:b/>
                <w:bCs/>
                <w:spacing w:val="1"/>
                <w:sz w:val="19"/>
                <w:szCs w:val="19"/>
                <w:highlight w:val="none"/>
              </w:rPr>
              <w:t>使用管理办法》</w:t>
            </w:r>
          </w:p>
        </w:tc>
      </w:tr>
    </w:tbl>
    <w:p>
      <w:pPr>
        <w:rPr>
          <w:rFonts w:hint="eastAsia" w:ascii="方正仿宋简体" w:hAnsi="方正仿宋简体" w:eastAsia="方正仿宋简体" w:cs="方正仿宋简体"/>
          <w:b/>
          <w:bCs/>
          <w:sz w:val="19"/>
          <w:szCs w:val="19"/>
          <w:highlight w:val="none"/>
        </w:rPr>
      </w:pPr>
    </w:p>
    <w:p>
      <w:pPr>
        <w:rPr>
          <w:rFonts w:hint="eastAsia" w:ascii="方正仿宋简体" w:hAnsi="方正仿宋简体" w:eastAsia="方正仿宋简体" w:cs="方正仿宋简体"/>
          <w:b/>
          <w:bCs/>
          <w:sz w:val="19"/>
          <w:szCs w:val="19"/>
          <w:highlight w:val="none"/>
        </w:rPr>
        <w:sectPr>
          <w:pgSz w:w="16850" w:h="11910"/>
          <w:pgMar w:top="1012" w:right="2235" w:bottom="0" w:left="1994" w:header="0" w:footer="0" w:gutter="0"/>
          <w:cols w:space="720" w:num="1"/>
        </w:sectPr>
      </w:pPr>
    </w:p>
    <w:tbl>
      <w:tblPr>
        <w:tblStyle w:val="7"/>
        <w:tblpPr w:leftFromText="180" w:rightFromText="180" w:vertAnchor="text" w:horzAnchor="page" w:tblpX="2001" w:tblpY="-6"/>
        <w:tblOverlap w:val="never"/>
        <w:tblW w:w="1260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4"/>
        <w:gridCol w:w="1709"/>
        <w:gridCol w:w="8094"/>
        <w:gridCol w:w="20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23" w:hRule="atLeast"/>
        </w:trPr>
        <w:tc>
          <w:tcPr>
            <w:tcW w:w="764" w:type="dxa"/>
            <w:vAlign w:val="top"/>
          </w:tcPr>
          <w:p>
            <w:pPr>
              <w:spacing w:line="314" w:lineRule="auto"/>
              <w:jc w:val="both"/>
              <w:rPr>
                <w:rFonts w:hint="eastAsia" w:ascii="方正仿宋简体" w:hAnsi="方正仿宋简体" w:eastAsia="方正仿宋简体" w:cs="方正仿宋简体"/>
                <w:b/>
                <w:bCs/>
                <w:sz w:val="19"/>
                <w:szCs w:val="19"/>
                <w:highlight w:val="none"/>
              </w:rPr>
            </w:pPr>
          </w:p>
          <w:p>
            <w:pPr>
              <w:spacing w:line="314" w:lineRule="auto"/>
              <w:jc w:val="both"/>
              <w:rPr>
                <w:rFonts w:hint="eastAsia" w:ascii="方正仿宋简体" w:hAnsi="方正仿宋简体" w:eastAsia="方正仿宋简体" w:cs="方正仿宋简体"/>
                <w:b/>
                <w:bCs/>
                <w:sz w:val="19"/>
                <w:szCs w:val="19"/>
                <w:highlight w:val="none"/>
              </w:rPr>
            </w:pPr>
          </w:p>
          <w:p>
            <w:pPr>
              <w:pStyle w:val="8"/>
              <w:spacing w:before="62"/>
              <w:ind w:left="325"/>
              <w:jc w:val="both"/>
              <w:rPr>
                <w:rFonts w:hint="eastAsia" w:ascii="方正仿宋简体" w:hAnsi="方正仿宋简体" w:eastAsia="方正仿宋简体" w:cs="方正仿宋简体"/>
                <w:b/>
                <w:bCs/>
                <w:sz w:val="19"/>
                <w:szCs w:val="19"/>
                <w:highlight w:val="none"/>
                <w:lang w:eastAsia="zh-CN"/>
              </w:rPr>
            </w:pPr>
            <w:r>
              <w:rPr>
                <w:rFonts w:hint="eastAsia" w:ascii="方正仿宋简体" w:hAnsi="方正仿宋简体" w:eastAsia="方正仿宋简体" w:cs="方正仿宋简体"/>
                <w:b/>
                <w:bCs/>
                <w:sz w:val="19"/>
                <w:szCs w:val="19"/>
                <w:highlight w:val="none"/>
                <w:lang w:val="en-US" w:eastAsia="zh-CN"/>
              </w:rPr>
              <w:t>2</w:t>
            </w:r>
          </w:p>
        </w:tc>
        <w:tc>
          <w:tcPr>
            <w:tcW w:w="1709" w:type="dxa"/>
            <w:vAlign w:val="top"/>
          </w:tcPr>
          <w:p>
            <w:pPr>
              <w:pStyle w:val="8"/>
              <w:spacing w:before="265" w:line="273" w:lineRule="auto"/>
              <w:ind w:left="90" w:right="104" w:hanging="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
                <w:sz w:val="19"/>
                <w:szCs w:val="19"/>
                <w:highlight w:val="none"/>
              </w:rPr>
              <w:t>对《单用途商业预</w:t>
            </w:r>
            <w:r>
              <w:rPr>
                <w:rFonts w:hint="eastAsia" w:ascii="方正仿宋简体" w:hAnsi="方正仿宋简体" w:eastAsia="方正仿宋简体" w:cs="方正仿宋简体"/>
                <w:b/>
                <w:bCs/>
                <w:spacing w:val="4"/>
                <w:sz w:val="19"/>
                <w:szCs w:val="19"/>
                <w:highlight w:val="none"/>
              </w:rPr>
              <w:t>付卡管理办法(试</w:t>
            </w:r>
            <w:r>
              <w:rPr>
                <w:rFonts w:hint="eastAsia" w:ascii="方正仿宋简体" w:hAnsi="方正仿宋简体" w:eastAsia="方正仿宋简体" w:cs="方正仿宋简体"/>
                <w:b/>
                <w:bCs/>
                <w:spacing w:val="6"/>
                <w:sz w:val="19"/>
                <w:szCs w:val="19"/>
                <w:highlight w:val="none"/>
              </w:rPr>
              <w:t>行)》规定事项</w:t>
            </w:r>
            <w:r>
              <w:rPr>
                <w:rFonts w:hint="eastAsia" w:ascii="方正仿宋简体" w:hAnsi="方正仿宋简体" w:eastAsia="方正仿宋简体" w:cs="方正仿宋简体"/>
                <w:b/>
                <w:bCs/>
                <w:spacing w:val="6"/>
                <w:sz w:val="19"/>
                <w:szCs w:val="19"/>
                <w:highlight w:val="none"/>
                <w:lang w:eastAsia="zh-CN"/>
              </w:rPr>
              <w:t>的</w:t>
            </w:r>
            <w:r>
              <w:rPr>
                <w:rFonts w:hint="eastAsia" w:ascii="方正仿宋简体" w:hAnsi="方正仿宋简体" w:eastAsia="方正仿宋简体" w:cs="方正仿宋简体"/>
                <w:b/>
                <w:bCs/>
                <w:spacing w:val="-2"/>
                <w:sz w:val="19"/>
                <w:szCs w:val="19"/>
                <w:highlight w:val="none"/>
              </w:rPr>
              <w:t>检查</w:t>
            </w:r>
          </w:p>
        </w:tc>
        <w:tc>
          <w:tcPr>
            <w:tcW w:w="8094" w:type="dxa"/>
            <w:vAlign w:val="top"/>
          </w:tcPr>
          <w:p>
            <w:pPr>
              <w:spacing w:line="460" w:lineRule="auto"/>
              <w:jc w:val="both"/>
              <w:rPr>
                <w:rFonts w:hint="eastAsia" w:ascii="方正仿宋简体" w:hAnsi="方正仿宋简体" w:eastAsia="方正仿宋简体" w:cs="方正仿宋简体"/>
                <w:b/>
                <w:bCs/>
                <w:sz w:val="19"/>
                <w:szCs w:val="19"/>
                <w:highlight w:val="none"/>
              </w:rPr>
            </w:pPr>
          </w:p>
          <w:p>
            <w:pPr>
              <w:pStyle w:val="8"/>
              <w:spacing w:before="62" w:line="284" w:lineRule="auto"/>
              <w:ind w:left="111" w:hanging="1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0"/>
                <w:sz w:val="19"/>
                <w:szCs w:val="19"/>
                <w:highlight w:val="none"/>
              </w:rPr>
              <w:t>发卡企业或售卡企业单用途商业预付卡业务活动、内部控制和风险状</w:t>
            </w:r>
            <w:r>
              <w:rPr>
                <w:rFonts w:hint="eastAsia" w:ascii="方正仿宋简体" w:hAnsi="方正仿宋简体" w:eastAsia="方正仿宋简体" w:cs="方正仿宋简体"/>
                <w:b/>
                <w:bCs/>
                <w:spacing w:val="-11"/>
                <w:sz w:val="19"/>
                <w:szCs w:val="19"/>
                <w:highlight w:val="none"/>
              </w:rPr>
              <w:t>况等是否符合管理办法规定。(第</w:t>
            </w:r>
            <w:r>
              <w:rPr>
                <w:rFonts w:hint="eastAsia" w:ascii="方正仿宋简体" w:hAnsi="方正仿宋简体" w:eastAsia="方正仿宋简体" w:cs="方正仿宋简体"/>
                <w:b/>
                <w:bCs/>
                <w:spacing w:val="9"/>
                <w:sz w:val="19"/>
                <w:szCs w:val="19"/>
                <w:highlight w:val="none"/>
              </w:rPr>
              <w:t>三十三条)</w:t>
            </w:r>
          </w:p>
        </w:tc>
        <w:tc>
          <w:tcPr>
            <w:tcW w:w="2033" w:type="dxa"/>
            <w:vAlign w:val="top"/>
          </w:tcPr>
          <w:p>
            <w:pPr>
              <w:spacing w:line="460" w:lineRule="auto"/>
              <w:jc w:val="both"/>
              <w:rPr>
                <w:rFonts w:hint="eastAsia" w:ascii="方正仿宋简体" w:hAnsi="方正仿宋简体" w:eastAsia="方正仿宋简体" w:cs="方正仿宋简体"/>
                <w:b/>
                <w:bCs/>
                <w:sz w:val="19"/>
                <w:szCs w:val="19"/>
                <w:highlight w:val="none"/>
              </w:rPr>
            </w:pPr>
          </w:p>
          <w:p>
            <w:pPr>
              <w:pStyle w:val="8"/>
              <w:spacing w:before="61" w:line="294" w:lineRule="auto"/>
              <w:ind w:left="107" w:right="58" w:hanging="24"/>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2"/>
                <w:sz w:val="19"/>
                <w:szCs w:val="19"/>
                <w:highlight w:val="none"/>
              </w:rPr>
              <w:t>《单用途商业预付卡管理办法(试行)》</w:t>
            </w:r>
          </w:p>
        </w:tc>
      </w:tr>
    </w:tbl>
    <w:tbl>
      <w:tblPr>
        <w:tblStyle w:val="7"/>
        <w:tblpPr w:leftFromText="180" w:rightFromText="180" w:vertAnchor="text" w:horzAnchor="page" w:tblpX="2001" w:tblpY="1548"/>
        <w:tblOverlap w:val="never"/>
        <w:tblW w:w="1260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4"/>
        <w:gridCol w:w="1709"/>
        <w:gridCol w:w="8084"/>
        <w:gridCol w:w="20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8" w:hRule="atLeast"/>
        </w:trPr>
        <w:tc>
          <w:tcPr>
            <w:tcW w:w="764" w:type="dxa"/>
            <w:vAlign w:val="top"/>
          </w:tcPr>
          <w:p>
            <w:pPr>
              <w:spacing w:line="413" w:lineRule="auto"/>
              <w:jc w:val="both"/>
              <w:rPr>
                <w:rFonts w:hint="eastAsia" w:ascii="方正仿宋简体" w:hAnsi="方正仿宋简体" w:eastAsia="方正仿宋简体" w:cs="方正仿宋简体"/>
                <w:b/>
                <w:bCs/>
                <w:sz w:val="19"/>
                <w:szCs w:val="19"/>
                <w:highlight w:val="none"/>
              </w:rPr>
            </w:pPr>
          </w:p>
          <w:p>
            <w:pPr>
              <w:pStyle w:val="8"/>
              <w:spacing w:before="62" w:line="241" w:lineRule="auto"/>
              <w:ind w:left="325"/>
              <w:jc w:val="both"/>
              <w:rPr>
                <w:rFonts w:hint="eastAsia" w:ascii="方正仿宋简体" w:hAnsi="方正仿宋简体" w:eastAsia="方正仿宋简体" w:cs="方正仿宋简体"/>
                <w:b/>
                <w:bCs/>
                <w:sz w:val="19"/>
                <w:szCs w:val="19"/>
                <w:highlight w:val="none"/>
                <w:lang w:eastAsia="zh-CN"/>
              </w:rPr>
            </w:pPr>
            <w:r>
              <w:rPr>
                <w:rFonts w:hint="eastAsia" w:ascii="方正仿宋简体" w:hAnsi="方正仿宋简体" w:eastAsia="方正仿宋简体" w:cs="方正仿宋简体"/>
                <w:b/>
                <w:bCs/>
                <w:sz w:val="19"/>
                <w:szCs w:val="19"/>
                <w:highlight w:val="none"/>
                <w:lang w:val="en-US" w:eastAsia="zh-CN"/>
              </w:rPr>
              <w:t>3</w:t>
            </w:r>
          </w:p>
        </w:tc>
        <w:tc>
          <w:tcPr>
            <w:tcW w:w="1709" w:type="dxa"/>
            <w:vAlign w:val="top"/>
          </w:tcPr>
          <w:p>
            <w:pPr>
              <w:pStyle w:val="8"/>
              <w:spacing w:before="187" w:line="269" w:lineRule="auto"/>
              <w:ind w:left="81" w:right="85"/>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
                <w:sz w:val="19"/>
                <w:szCs w:val="19"/>
                <w:highlight w:val="none"/>
              </w:rPr>
              <w:t>对《家庭服务业管</w:t>
            </w:r>
            <w:r>
              <w:rPr>
                <w:rFonts w:hint="eastAsia" w:ascii="方正仿宋简体" w:hAnsi="方正仿宋简体" w:eastAsia="方正仿宋简体" w:cs="方正仿宋简体"/>
                <w:b/>
                <w:bCs/>
                <w:spacing w:val="1"/>
                <w:sz w:val="19"/>
                <w:szCs w:val="19"/>
                <w:highlight w:val="none"/>
              </w:rPr>
              <w:t>理暂行办法》规定</w:t>
            </w:r>
            <w:r>
              <w:rPr>
                <w:rFonts w:hint="eastAsia" w:ascii="方正仿宋简体" w:hAnsi="方正仿宋简体" w:eastAsia="方正仿宋简体" w:cs="方正仿宋简体"/>
                <w:b/>
                <w:bCs/>
                <w:spacing w:val="4"/>
                <w:sz w:val="19"/>
                <w:szCs w:val="19"/>
                <w:highlight w:val="none"/>
              </w:rPr>
              <w:t>事项的检查</w:t>
            </w:r>
          </w:p>
        </w:tc>
        <w:tc>
          <w:tcPr>
            <w:tcW w:w="8084" w:type="dxa"/>
            <w:vAlign w:val="top"/>
          </w:tcPr>
          <w:p>
            <w:pPr>
              <w:spacing w:line="393" w:lineRule="auto"/>
              <w:jc w:val="both"/>
              <w:rPr>
                <w:rFonts w:hint="eastAsia" w:ascii="方正仿宋简体" w:hAnsi="方正仿宋简体" w:eastAsia="方正仿宋简体" w:cs="方正仿宋简体"/>
                <w:b/>
                <w:bCs/>
                <w:sz w:val="19"/>
                <w:szCs w:val="19"/>
                <w:highlight w:val="none"/>
              </w:rPr>
            </w:pPr>
          </w:p>
          <w:p>
            <w:pPr>
              <w:pStyle w:val="8"/>
              <w:spacing w:before="62" w:line="219" w:lineRule="auto"/>
              <w:ind w:left="102"/>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
                <w:sz w:val="19"/>
                <w:szCs w:val="19"/>
                <w:highlight w:val="none"/>
              </w:rPr>
              <w:t>家庭服务机构是否按照县级以上商务主管部门要求及时准确地提供经营档案信息。(第十一</w:t>
            </w:r>
            <w:r>
              <w:rPr>
                <w:rFonts w:hint="eastAsia" w:ascii="方正仿宋简体" w:hAnsi="方正仿宋简体" w:eastAsia="方正仿宋简体" w:cs="方正仿宋简体"/>
                <w:b/>
                <w:bCs/>
                <w:sz w:val="19"/>
                <w:szCs w:val="19"/>
                <w:highlight w:val="none"/>
              </w:rPr>
              <w:t>条)</w:t>
            </w:r>
          </w:p>
        </w:tc>
        <w:tc>
          <w:tcPr>
            <w:tcW w:w="2043" w:type="dxa"/>
            <w:vAlign w:val="top"/>
          </w:tcPr>
          <w:p>
            <w:pPr>
              <w:spacing w:line="274" w:lineRule="auto"/>
              <w:jc w:val="both"/>
              <w:rPr>
                <w:rFonts w:hint="eastAsia" w:ascii="方正仿宋简体" w:hAnsi="方正仿宋简体" w:eastAsia="方正仿宋简体" w:cs="方正仿宋简体"/>
                <w:b/>
                <w:bCs/>
                <w:sz w:val="19"/>
                <w:szCs w:val="19"/>
                <w:highlight w:val="none"/>
              </w:rPr>
            </w:pPr>
          </w:p>
          <w:p>
            <w:pPr>
              <w:pStyle w:val="8"/>
              <w:spacing w:before="62" w:line="255" w:lineRule="auto"/>
              <w:ind w:left="108" w:right="47" w:hanging="5"/>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2"/>
                <w:sz w:val="19"/>
                <w:szCs w:val="19"/>
                <w:highlight w:val="none"/>
              </w:rPr>
              <w:t>《家庭服务业管理暂行</w:t>
            </w:r>
            <w:r>
              <w:rPr>
                <w:rFonts w:hint="eastAsia" w:ascii="方正仿宋简体" w:hAnsi="方正仿宋简体" w:eastAsia="方正仿宋简体" w:cs="方正仿宋简体"/>
                <w:b/>
                <w:bCs/>
                <w:spacing w:val="-5"/>
                <w:sz w:val="19"/>
                <w:szCs w:val="19"/>
                <w:highlight w:val="none"/>
              </w:rPr>
              <w:t>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7" w:hRule="atLeast"/>
        </w:trPr>
        <w:tc>
          <w:tcPr>
            <w:tcW w:w="764" w:type="dxa"/>
            <w:vAlign w:val="top"/>
          </w:tcPr>
          <w:p>
            <w:pPr>
              <w:spacing w:line="287" w:lineRule="auto"/>
              <w:jc w:val="both"/>
              <w:rPr>
                <w:rFonts w:hint="eastAsia" w:ascii="方正仿宋简体" w:hAnsi="方正仿宋简体" w:eastAsia="方正仿宋简体" w:cs="方正仿宋简体"/>
                <w:b/>
                <w:bCs/>
                <w:sz w:val="19"/>
                <w:szCs w:val="19"/>
                <w:highlight w:val="none"/>
              </w:rPr>
            </w:pPr>
          </w:p>
          <w:p>
            <w:pPr>
              <w:spacing w:line="287" w:lineRule="auto"/>
              <w:jc w:val="both"/>
              <w:rPr>
                <w:rFonts w:hint="eastAsia" w:ascii="方正仿宋简体" w:hAnsi="方正仿宋简体" w:eastAsia="方正仿宋简体" w:cs="方正仿宋简体"/>
                <w:b/>
                <w:bCs/>
                <w:sz w:val="19"/>
                <w:szCs w:val="19"/>
                <w:highlight w:val="none"/>
              </w:rPr>
            </w:pPr>
          </w:p>
          <w:p>
            <w:pPr>
              <w:spacing w:line="288" w:lineRule="auto"/>
              <w:jc w:val="both"/>
              <w:rPr>
                <w:rFonts w:hint="eastAsia" w:ascii="方正仿宋简体" w:hAnsi="方正仿宋简体" w:eastAsia="方正仿宋简体" w:cs="方正仿宋简体"/>
                <w:b/>
                <w:bCs/>
                <w:sz w:val="19"/>
                <w:szCs w:val="19"/>
                <w:highlight w:val="none"/>
              </w:rPr>
            </w:pPr>
          </w:p>
          <w:p>
            <w:pPr>
              <w:pStyle w:val="8"/>
              <w:spacing w:before="62"/>
              <w:ind w:left="325"/>
              <w:jc w:val="both"/>
              <w:rPr>
                <w:rFonts w:hint="eastAsia" w:ascii="方正仿宋简体" w:hAnsi="方正仿宋简体" w:eastAsia="方正仿宋简体" w:cs="方正仿宋简体"/>
                <w:b/>
                <w:bCs/>
                <w:sz w:val="19"/>
                <w:szCs w:val="19"/>
                <w:highlight w:val="none"/>
                <w:lang w:eastAsia="zh-CN"/>
              </w:rPr>
            </w:pPr>
            <w:r>
              <w:rPr>
                <w:rFonts w:hint="eastAsia" w:ascii="方正仿宋简体" w:hAnsi="方正仿宋简体" w:eastAsia="方正仿宋简体" w:cs="方正仿宋简体"/>
                <w:b/>
                <w:bCs/>
                <w:sz w:val="19"/>
                <w:szCs w:val="19"/>
                <w:highlight w:val="none"/>
                <w:lang w:val="en-US" w:eastAsia="zh-CN"/>
              </w:rPr>
              <w:t>4</w:t>
            </w:r>
          </w:p>
        </w:tc>
        <w:tc>
          <w:tcPr>
            <w:tcW w:w="1709" w:type="dxa"/>
            <w:vAlign w:val="top"/>
          </w:tcPr>
          <w:p>
            <w:pPr>
              <w:spacing w:line="417" w:lineRule="auto"/>
              <w:jc w:val="both"/>
              <w:rPr>
                <w:rFonts w:hint="eastAsia" w:ascii="方正仿宋简体" w:hAnsi="方正仿宋简体" w:eastAsia="方正仿宋简体" w:cs="方正仿宋简体"/>
                <w:b/>
                <w:bCs/>
                <w:sz w:val="19"/>
                <w:szCs w:val="19"/>
                <w:highlight w:val="none"/>
              </w:rPr>
            </w:pPr>
          </w:p>
          <w:p>
            <w:pPr>
              <w:pStyle w:val="8"/>
              <w:spacing w:before="61" w:line="273" w:lineRule="auto"/>
              <w:ind w:left="101" w:right="104" w:hanging="2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
                <w:sz w:val="19"/>
                <w:szCs w:val="19"/>
                <w:highlight w:val="none"/>
              </w:rPr>
              <w:t>对《商品现货市场</w:t>
            </w:r>
            <w:r>
              <w:rPr>
                <w:rFonts w:hint="eastAsia" w:ascii="方正仿宋简体" w:hAnsi="方正仿宋简体" w:eastAsia="方正仿宋简体" w:cs="方正仿宋简体"/>
                <w:b/>
                <w:bCs/>
                <w:spacing w:val="2"/>
                <w:sz w:val="19"/>
                <w:szCs w:val="19"/>
                <w:highlight w:val="none"/>
              </w:rPr>
              <w:t>交易特别规定(试</w:t>
            </w:r>
            <w:r>
              <w:rPr>
                <w:rFonts w:hint="eastAsia" w:ascii="方正仿宋简体" w:hAnsi="方正仿宋简体" w:eastAsia="方正仿宋简体" w:cs="方正仿宋简体"/>
                <w:b/>
                <w:bCs/>
                <w:spacing w:val="4"/>
                <w:sz w:val="19"/>
                <w:szCs w:val="19"/>
                <w:highlight w:val="none"/>
              </w:rPr>
              <w:t>行)》规定事项的</w:t>
            </w:r>
            <w:r>
              <w:rPr>
                <w:rFonts w:hint="eastAsia" w:ascii="方正仿宋简体" w:hAnsi="方正仿宋简体" w:eastAsia="方正仿宋简体" w:cs="方正仿宋简体"/>
                <w:b/>
                <w:bCs/>
                <w:spacing w:val="-2"/>
                <w:sz w:val="19"/>
                <w:szCs w:val="19"/>
                <w:highlight w:val="none"/>
              </w:rPr>
              <w:t>检查</w:t>
            </w:r>
          </w:p>
        </w:tc>
        <w:tc>
          <w:tcPr>
            <w:tcW w:w="8084" w:type="dxa"/>
            <w:vAlign w:val="top"/>
          </w:tcPr>
          <w:p>
            <w:pPr>
              <w:pStyle w:val="8"/>
              <w:spacing w:before="80" w:line="219" w:lineRule="auto"/>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z w:val="19"/>
                <w:szCs w:val="19"/>
                <w:highlight w:val="none"/>
              </w:rPr>
              <w:t>1.市场经营者是否按照规定开展交易活动；是否侵占或挪用交易者的资金。</w:t>
            </w:r>
            <w:r>
              <w:rPr>
                <w:rFonts w:hint="eastAsia" w:ascii="方正仿宋简体" w:hAnsi="方正仿宋简体" w:eastAsia="方正仿宋简体" w:cs="方正仿宋简体"/>
                <w:b/>
                <w:bCs/>
                <w:spacing w:val="-1"/>
                <w:sz w:val="19"/>
                <w:szCs w:val="19"/>
                <w:highlight w:val="none"/>
              </w:rPr>
              <w:t>(第十条、第十四条)</w:t>
            </w:r>
          </w:p>
          <w:p>
            <w:pPr>
              <w:pStyle w:val="8"/>
              <w:spacing w:before="53" w:line="246" w:lineRule="auto"/>
              <w:ind w:left="101" w:hanging="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6"/>
                <w:sz w:val="19"/>
                <w:szCs w:val="19"/>
                <w:highlight w:val="none"/>
              </w:rPr>
              <w:t>2.市场经营者是否公开业务规则和规章制度；制定、修改和变更是</w:t>
            </w:r>
            <w:r>
              <w:rPr>
                <w:rFonts w:hint="eastAsia" w:ascii="方正仿宋简体" w:hAnsi="方正仿宋简体" w:eastAsia="方正仿宋简体" w:cs="方正仿宋简体"/>
                <w:b/>
                <w:bCs/>
                <w:spacing w:val="-7"/>
                <w:sz w:val="19"/>
                <w:szCs w:val="19"/>
                <w:highlight w:val="none"/>
              </w:rPr>
              <w:t>否在合理时间内提前公示。(第十</w:t>
            </w:r>
            <w:r>
              <w:rPr>
                <w:rFonts w:hint="eastAsia" w:ascii="方正仿宋简体" w:hAnsi="方正仿宋简体" w:eastAsia="方正仿宋简体" w:cs="方正仿宋简体"/>
                <w:b/>
                <w:bCs/>
                <w:spacing w:val="15"/>
                <w:sz w:val="19"/>
                <w:szCs w:val="19"/>
                <w:highlight w:val="none"/>
              </w:rPr>
              <w:t>二条)</w:t>
            </w:r>
          </w:p>
          <w:p>
            <w:pPr>
              <w:pStyle w:val="8"/>
              <w:spacing w:before="44" w:line="248" w:lineRule="auto"/>
              <w:ind w:left="102"/>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0"/>
                <w:sz w:val="19"/>
                <w:szCs w:val="19"/>
                <w:highlight w:val="none"/>
              </w:rPr>
              <w:t>3.市场经营者是否建立完善商品信息发布</w:t>
            </w:r>
            <w:r>
              <w:rPr>
                <w:rFonts w:hint="eastAsia" w:ascii="方正仿宋简体" w:hAnsi="方正仿宋简体" w:eastAsia="方正仿宋简体" w:cs="方正仿宋简体"/>
                <w:b/>
                <w:bCs/>
                <w:spacing w:val="-11"/>
                <w:sz w:val="19"/>
                <w:szCs w:val="19"/>
                <w:highlight w:val="none"/>
              </w:rPr>
              <w:t>制度，公布的信息是否真实、准确；采用现代信息化技术开展交易活动的市场经营者是否实时记录相关信息并保证完整和安全、是否保存五年以上。(第十七条、</w:t>
            </w:r>
            <w:r>
              <w:rPr>
                <w:rFonts w:hint="eastAsia" w:ascii="方正仿宋简体" w:hAnsi="方正仿宋简体" w:eastAsia="方正仿宋简体" w:cs="方正仿宋简体"/>
                <w:b/>
                <w:bCs/>
                <w:spacing w:val="7"/>
                <w:sz w:val="19"/>
                <w:szCs w:val="19"/>
                <w:highlight w:val="none"/>
              </w:rPr>
              <w:t>第十八条)</w:t>
            </w:r>
          </w:p>
          <w:p>
            <w:pPr>
              <w:pStyle w:val="8"/>
              <w:spacing w:before="64" w:line="219" w:lineRule="auto"/>
              <w:ind w:left="102"/>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
                <w:sz w:val="19"/>
                <w:szCs w:val="19"/>
                <w:highlight w:val="none"/>
              </w:rPr>
              <w:t>4.市场经营者是否篡改、销毁相关信息和资料。(第十九条)</w:t>
            </w:r>
          </w:p>
        </w:tc>
        <w:tc>
          <w:tcPr>
            <w:tcW w:w="2043" w:type="dxa"/>
            <w:vAlign w:val="top"/>
          </w:tcPr>
          <w:p>
            <w:pPr>
              <w:spacing w:line="351" w:lineRule="auto"/>
              <w:jc w:val="both"/>
              <w:rPr>
                <w:rFonts w:hint="eastAsia" w:ascii="方正仿宋简体" w:hAnsi="方正仿宋简体" w:eastAsia="方正仿宋简体" w:cs="方正仿宋简体"/>
                <w:b/>
                <w:bCs/>
                <w:sz w:val="19"/>
                <w:szCs w:val="19"/>
                <w:highlight w:val="none"/>
              </w:rPr>
            </w:pPr>
          </w:p>
          <w:p>
            <w:pPr>
              <w:spacing w:line="352" w:lineRule="auto"/>
              <w:jc w:val="both"/>
              <w:rPr>
                <w:rFonts w:hint="eastAsia" w:ascii="方正仿宋简体" w:hAnsi="方正仿宋简体" w:eastAsia="方正仿宋简体" w:cs="方正仿宋简体"/>
                <w:b/>
                <w:bCs/>
                <w:sz w:val="19"/>
                <w:szCs w:val="19"/>
                <w:highlight w:val="none"/>
              </w:rPr>
            </w:pPr>
          </w:p>
          <w:p>
            <w:pPr>
              <w:pStyle w:val="8"/>
              <w:spacing w:before="62" w:line="276" w:lineRule="auto"/>
              <w:ind w:left="118" w:right="34" w:hanging="5"/>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2"/>
                <w:sz w:val="19"/>
                <w:szCs w:val="19"/>
                <w:highlight w:val="none"/>
              </w:rPr>
              <w:t>《商品现货市场交易特别规定(试行)》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18" w:hRule="atLeast"/>
        </w:trPr>
        <w:tc>
          <w:tcPr>
            <w:tcW w:w="764" w:type="dxa"/>
            <w:vAlign w:val="top"/>
          </w:tcPr>
          <w:p>
            <w:pPr>
              <w:spacing w:line="242" w:lineRule="auto"/>
              <w:jc w:val="both"/>
              <w:rPr>
                <w:rFonts w:hint="eastAsia" w:ascii="方正仿宋简体" w:hAnsi="方正仿宋简体" w:eastAsia="方正仿宋简体" w:cs="方正仿宋简体"/>
                <w:b/>
                <w:bCs/>
                <w:sz w:val="19"/>
                <w:szCs w:val="19"/>
                <w:highlight w:val="none"/>
              </w:rPr>
            </w:pPr>
          </w:p>
          <w:p>
            <w:pPr>
              <w:spacing w:line="242" w:lineRule="auto"/>
              <w:jc w:val="both"/>
              <w:rPr>
                <w:rFonts w:hint="eastAsia" w:ascii="方正仿宋简体" w:hAnsi="方正仿宋简体" w:eastAsia="方正仿宋简体" w:cs="方正仿宋简体"/>
                <w:b/>
                <w:bCs/>
                <w:sz w:val="19"/>
                <w:szCs w:val="19"/>
                <w:highlight w:val="none"/>
              </w:rPr>
            </w:pPr>
          </w:p>
          <w:p>
            <w:pPr>
              <w:spacing w:line="242" w:lineRule="auto"/>
              <w:jc w:val="both"/>
              <w:rPr>
                <w:rFonts w:hint="eastAsia" w:ascii="方正仿宋简体" w:hAnsi="方正仿宋简体" w:eastAsia="方正仿宋简体" w:cs="方正仿宋简体"/>
                <w:b/>
                <w:bCs/>
                <w:sz w:val="19"/>
                <w:szCs w:val="19"/>
                <w:highlight w:val="none"/>
              </w:rPr>
            </w:pPr>
          </w:p>
          <w:p>
            <w:pPr>
              <w:pStyle w:val="8"/>
              <w:spacing w:before="61"/>
              <w:ind w:left="325"/>
              <w:jc w:val="both"/>
              <w:rPr>
                <w:rFonts w:hint="eastAsia" w:ascii="方正仿宋简体" w:hAnsi="方正仿宋简体" w:eastAsia="方正仿宋简体" w:cs="方正仿宋简体"/>
                <w:b/>
                <w:bCs/>
                <w:sz w:val="19"/>
                <w:szCs w:val="19"/>
                <w:highlight w:val="none"/>
                <w:lang w:eastAsia="zh-CN"/>
              </w:rPr>
            </w:pPr>
            <w:r>
              <w:rPr>
                <w:rFonts w:hint="eastAsia" w:ascii="方正仿宋简体" w:hAnsi="方正仿宋简体" w:eastAsia="方正仿宋简体" w:cs="方正仿宋简体"/>
                <w:b/>
                <w:bCs/>
                <w:sz w:val="19"/>
                <w:szCs w:val="19"/>
                <w:highlight w:val="none"/>
                <w:lang w:val="en-US" w:eastAsia="zh-CN"/>
              </w:rPr>
              <w:t>5</w:t>
            </w:r>
          </w:p>
        </w:tc>
        <w:tc>
          <w:tcPr>
            <w:tcW w:w="1709" w:type="dxa"/>
            <w:vAlign w:val="top"/>
          </w:tcPr>
          <w:p>
            <w:pPr>
              <w:pStyle w:val="8"/>
              <w:spacing w:before="216" w:line="270" w:lineRule="auto"/>
              <w:ind w:left="36" w:right="52" w:firstLine="44"/>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
                <w:sz w:val="19"/>
                <w:szCs w:val="19"/>
                <w:highlight w:val="none"/>
              </w:rPr>
              <w:t>对《中华人民共和</w:t>
            </w:r>
            <w:r>
              <w:rPr>
                <w:rFonts w:hint="eastAsia" w:ascii="方正仿宋简体" w:hAnsi="方正仿宋简体" w:eastAsia="方正仿宋简体" w:cs="方正仿宋简体"/>
                <w:b/>
                <w:bCs/>
                <w:spacing w:val="11"/>
                <w:sz w:val="19"/>
                <w:szCs w:val="19"/>
                <w:highlight w:val="none"/>
              </w:rPr>
              <w:t>国反食品浪费法》</w:t>
            </w:r>
            <w:r>
              <w:rPr>
                <w:rFonts w:hint="eastAsia" w:ascii="方正仿宋简体" w:hAnsi="方正仿宋简体" w:eastAsia="方正仿宋简体" w:cs="方正仿宋简体"/>
                <w:b/>
                <w:bCs/>
                <w:spacing w:val="-3"/>
                <w:sz w:val="19"/>
                <w:szCs w:val="19"/>
                <w:highlight w:val="none"/>
              </w:rPr>
              <w:t>《餐饮业促进和经</w:t>
            </w:r>
            <w:r>
              <w:rPr>
                <w:rFonts w:hint="eastAsia" w:ascii="方正仿宋简体" w:hAnsi="方正仿宋简体" w:eastAsia="方正仿宋简体" w:cs="方正仿宋简体"/>
                <w:b/>
                <w:bCs/>
                <w:spacing w:val="7"/>
                <w:sz w:val="19"/>
                <w:szCs w:val="19"/>
                <w:highlight w:val="none"/>
              </w:rPr>
              <w:t>营管理办法》规定</w:t>
            </w:r>
            <w:r>
              <w:rPr>
                <w:rFonts w:hint="eastAsia" w:ascii="方正仿宋简体" w:hAnsi="方正仿宋简体" w:eastAsia="方正仿宋简体" w:cs="方正仿宋简体"/>
                <w:b/>
                <w:bCs/>
                <w:spacing w:val="9"/>
                <w:sz w:val="19"/>
                <w:szCs w:val="19"/>
                <w:highlight w:val="none"/>
              </w:rPr>
              <w:t>事项的检查</w:t>
            </w:r>
          </w:p>
        </w:tc>
        <w:tc>
          <w:tcPr>
            <w:tcW w:w="8084" w:type="dxa"/>
            <w:vAlign w:val="top"/>
          </w:tcPr>
          <w:p>
            <w:pPr>
              <w:spacing w:line="279" w:lineRule="auto"/>
              <w:jc w:val="both"/>
              <w:rPr>
                <w:rFonts w:hint="eastAsia" w:ascii="方正仿宋简体" w:hAnsi="方正仿宋简体" w:eastAsia="方正仿宋简体" w:cs="方正仿宋简体"/>
                <w:b/>
                <w:bCs/>
                <w:sz w:val="19"/>
                <w:szCs w:val="19"/>
                <w:highlight w:val="none"/>
              </w:rPr>
            </w:pPr>
          </w:p>
          <w:p>
            <w:pPr>
              <w:spacing w:line="279" w:lineRule="auto"/>
              <w:jc w:val="both"/>
              <w:rPr>
                <w:rFonts w:hint="eastAsia" w:ascii="方正仿宋简体" w:hAnsi="方正仿宋简体" w:eastAsia="方正仿宋简体" w:cs="方正仿宋简体"/>
                <w:b/>
                <w:bCs/>
                <w:sz w:val="19"/>
                <w:szCs w:val="19"/>
                <w:highlight w:val="none"/>
              </w:rPr>
            </w:pPr>
          </w:p>
          <w:p>
            <w:pPr>
              <w:pStyle w:val="8"/>
              <w:spacing w:before="62" w:line="273" w:lineRule="auto"/>
              <w:ind w:left="101" w:hanging="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6"/>
                <w:sz w:val="19"/>
                <w:szCs w:val="19"/>
                <w:highlight w:val="none"/>
              </w:rPr>
              <w:t>餐饮服务经营者是否在经营过程中严重浪费食品。(</w:t>
            </w:r>
            <w:r>
              <w:rPr>
                <w:rFonts w:hint="eastAsia" w:ascii="方正仿宋简体" w:hAnsi="方正仿宋简体" w:eastAsia="方正仿宋简体" w:cs="方正仿宋简体"/>
                <w:b/>
                <w:bCs/>
                <w:spacing w:val="-7"/>
                <w:sz w:val="19"/>
                <w:szCs w:val="19"/>
                <w:highlight w:val="none"/>
              </w:rPr>
              <w:t>《中华人民共和国反食品浪费法》第七条、第十</w:t>
            </w:r>
            <w:r>
              <w:rPr>
                <w:rFonts w:hint="eastAsia" w:ascii="方正仿宋简体" w:hAnsi="方正仿宋简体" w:eastAsia="方正仿宋简体" w:cs="方正仿宋简体"/>
                <w:b/>
                <w:bCs/>
                <w:spacing w:val="2"/>
                <w:sz w:val="19"/>
                <w:szCs w:val="19"/>
                <w:highlight w:val="none"/>
              </w:rPr>
              <w:t>七条，《餐饮业促进和经营管理办法》第二十</w:t>
            </w:r>
            <w:r>
              <w:rPr>
                <w:rFonts w:hint="eastAsia" w:ascii="方正仿宋简体" w:hAnsi="方正仿宋简体" w:eastAsia="方正仿宋简体" w:cs="方正仿宋简体"/>
                <w:b/>
                <w:bCs/>
                <w:spacing w:val="1"/>
                <w:sz w:val="19"/>
                <w:szCs w:val="19"/>
                <w:highlight w:val="none"/>
              </w:rPr>
              <w:t>条)</w:t>
            </w:r>
          </w:p>
        </w:tc>
        <w:tc>
          <w:tcPr>
            <w:tcW w:w="2043" w:type="dxa"/>
            <w:vAlign w:val="top"/>
          </w:tcPr>
          <w:p>
            <w:pPr>
              <w:spacing w:line="410" w:lineRule="auto"/>
              <w:jc w:val="both"/>
              <w:rPr>
                <w:rFonts w:hint="eastAsia" w:ascii="方正仿宋简体" w:hAnsi="方正仿宋简体" w:eastAsia="方正仿宋简体" w:cs="方正仿宋简体"/>
                <w:b/>
                <w:bCs/>
                <w:sz w:val="19"/>
                <w:szCs w:val="19"/>
                <w:highlight w:val="none"/>
              </w:rPr>
            </w:pPr>
          </w:p>
          <w:p>
            <w:pPr>
              <w:pStyle w:val="8"/>
              <w:spacing w:before="62" w:line="273" w:lineRule="auto"/>
              <w:ind w:left="117" w:hanging="24"/>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3"/>
                <w:sz w:val="19"/>
                <w:szCs w:val="19"/>
                <w:highlight w:val="none"/>
              </w:rPr>
              <w:t>《中华人民共和国反食</w:t>
            </w:r>
            <w:r>
              <w:rPr>
                <w:rFonts w:hint="eastAsia" w:ascii="方正仿宋简体" w:hAnsi="方正仿宋简体" w:eastAsia="方正仿宋简体" w:cs="方正仿宋简体"/>
                <w:b/>
                <w:bCs/>
                <w:spacing w:val="1"/>
                <w:sz w:val="19"/>
                <w:szCs w:val="19"/>
                <w:highlight w:val="none"/>
              </w:rPr>
              <w:t>品浪费法》《餐饮业促</w:t>
            </w:r>
            <w:r>
              <w:rPr>
                <w:rFonts w:hint="eastAsia" w:ascii="方正仿宋简体" w:hAnsi="方正仿宋简体" w:eastAsia="方正仿宋简体" w:cs="方正仿宋简体"/>
                <w:b/>
                <w:bCs/>
                <w:spacing w:val="-2"/>
                <w:sz w:val="19"/>
                <w:szCs w:val="19"/>
                <w:highlight w:val="none"/>
              </w:rPr>
              <w:t>进和经营管理办法》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18" w:hRule="atLeast"/>
        </w:trPr>
        <w:tc>
          <w:tcPr>
            <w:tcW w:w="764" w:type="dxa"/>
            <w:vAlign w:val="center"/>
          </w:tcPr>
          <w:p>
            <w:pPr>
              <w:pStyle w:val="8"/>
              <w:spacing w:before="61"/>
              <w:ind w:left="325"/>
              <w:jc w:val="both"/>
              <w:rPr>
                <w:rFonts w:hint="eastAsia" w:ascii="方正仿宋简体" w:hAnsi="方正仿宋简体" w:eastAsia="方正仿宋简体" w:cs="方正仿宋简体"/>
                <w:b/>
                <w:bCs/>
                <w:sz w:val="19"/>
                <w:szCs w:val="19"/>
                <w:highlight w:val="none"/>
                <w:lang w:val="en-US" w:eastAsia="zh-CN"/>
              </w:rPr>
            </w:pPr>
            <w:r>
              <w:rPr>
                <w:rFonts w:hint="eastAsia" w:ascii="方正仿宋简体" w:hAnsi="方正仿宋简体" w:eastAsia="方正仿宋简体" w:cs="方正仿宋简体"/>
                <w:b/>
                <w:bCs/>
                <w:sz w:val="19"/>
                <w:szCs w:val="19"/>
                <w:highlight w:val="none"/>
                <w:lang w:val="en-US" w:eastAsia="zh-CN"/>
              </w:rPr>
              <w:t>6</w:t>
            </w:r>
          </w:p>
        </w:tc>
        <w:tc>
          <w:tcPr>
            <w:tcW w:w="1709" w:type="dxa"/>
            <w:vAlign w:val="center"/>
          </w:tcPr>
          <w:p>
            <w:pPr>
              <w:pStyle w:val="8"/>
              <w:spacing w:before="216" w:line="270" w:lineRule="auto"/>
              <w:ind w:left="36" w:right="52" w:firstLine="44"/>
              <w:jc w:val="both"/>
              <w:rPr>
                <w:rFonts w:hint="eastAsia" w:ascii="方正仿宋简体" w:hAnsi="方正仿宋简体" w:eastAsia="方正仿宋简体" w:cs="方正仿宋简体"/>
                <w:b/>
                <w:bCs/>
                <w:spacing w:val="1"/>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对《旧电器电子产品流通管理办法》规定事项的检查</w:t>
            </w:r>
          </w:p>
        </w:tc>
        <w:tc>
          <w:tcPr>
            <w:tcW w:w="8084" w:type="dxa"/>
            <w:vAlign w:val="top"/>
          </w:tcPr>
          <w:p>
            <w:pPr>
              <w:pStyle w:val="8"/>
              <w:numPr>
                <w:ilvl w:val="0"/>
                <w:numId w:val="1"/>
              </w:numPr>
              <w:spacing w:before="62" w:line="273" w:lineRule="auto"/>
              <w:ind w:left="101" w:hanging="9"/>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县级以上地方商务主管部门负责本行政区域内旧电器电子产品流通的行业管理工作。（第五条）</w:t>
            </w:r>
          </w:p>
          <w:p>
            <w:pPr>
              <w:pStyle w:val="8"/>
              <w:numPr>
                <w:ilvl w:val="0"/>
                <w:numId w:val="0"/>
              </w:numPr>
              <w:spacing w:before="62" w:line="273" w:lineRule="auto"/>
              <w:ind w:left="92" w:leftChars="0"/>
              <w:jc w:val="both"/>
              <w:rPr>
                <w:rFonts w:hint="eastAsia" w:ascii="方正仿宋简体" w:hAnsi="方正仿宋简体" w:eastAsia="方正仿宋简体" w:cs="方正仿宋简体"/>
                <w:b/>
                <w:bCs/>
                <w:spacing w:val="-6"/>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2.县级以上地方商务主管部门应当根据本地实际，建立定期检查及不定期抽查制度，及时发现和处理有关问题。经营者和旧电器电子产品市场应配合商务主管部门的监督检查，如实提供信息和材料。（第十八条）</w:t>
            </w:r>
          </w:p>
        </w:tc>
        <w:tc>
          <w:tcPr>
            <w:tcW w:w="2043" w:type="dxa"/>
            <w:vAlign w:val="center"/>
          </w:tcPr>
          <w:p>
            <w:pPr>
              <w:pStyle w:val="8"/>
              <w:spacing w:before="62" w:line="273" w:lineRule="auto"/>
              <w:ind w:left="117" w:hanging="24"/>
              <w:jc w:val="both"/>
              <w:rPr>
                <w:rFonts w:hint="eastAsia" w:ascii="方正仿宋简体" w:hAnsi="方正仿宋简体" w:eastAsia="方正仿宋简体" w:cs="方正仿宋简体"/>
                <w:b/>
                <w:bCs/>
                <w:spacing w:val="-3"/>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《旧电器电子产品流通管理办法》（商务部令2013年第1号）</w:t>
            </w:r>
          </w:p>
        </w:tc>
      </w:tr>
    </w:tbl>
    <w:p>
      <w:pPr>
        <w:rPr>
          <w:rFonts w:hint="eastAsia" w:ascii="方正仿宋简体" w:hAnsi="方正仿宋简体" w:eastAsia="方正仿宋简体" w:cs="方正仿宋简体"/>
          <w:b/>
          <w:bCs/>
          <w:sz w:val="19"/>
          <w:szCs w:val="19"/>
          <w:highlight w:val="none"/>
        </w:rPr>
        <w:sectPr>
          <w:pgSz w:w="16850" w:h="11910"/>
          <w:pgMar w:top="1012" w:right="2274" w:bottom="0" w:left="1964" w:header="0" w:footer="0" w:gutter="0"/>
          <w:cols w:space="720" w:num="1"/>
        </w:sectPr>
      </w:pPr>
    </w:p>
    <w:tbl>
      <w:tblPr>
        <w:tblStyle w:val="7"/>
        <w:tblpPr w:leftFromText="180" w:rightFromText="180" w:vertAnchor="text" w:horzAnchor="page" w:tblpX="1844" w:tblpY="21"/>
        <w:tblOverlap w:val="never"/>
        <w:tblW w:w="1260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5"/>
        <w:gridCol w:w="1719"/>
        <w:gridCol w:w="8093"/>
        <w:gridCol w:w="20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96" w:hRule="atLeast"/>
        </w:trPr>
        <w:tc>
          <w:tcPr>
            <w:tcW w:w="755" w:type="dxa"/>
            <w:vAlign w:val="top"/>
          </w:tcPr>
          <w:p>
            <w:pPr>
              <w:spacing w:line="249" w:lineRule="auto"/>
              <w:jc w:val="both"/>
              <w:rPr>
                <w:rFonts w:hint="eastAsia" w:ascii="方正仿宋简体" w:hAnsi="方正仿宋简体" w:eastAsia="方正仿宋简体" w:cs="方正仿宋简体"/>
                <w:b/>
                <w:bCs/>
                <w:sz w:val="19"/>
                <w:szCs w:val="19"/>
                <w:highlight w:val="none"/>
              </w:rPr>
            </w:pPr>
          </w:p>
          <w:p>
            <w:pPr>
              <w:spacing w:line="249" w:lineRule="auto"/>
              <w:jc w:val="both"/>
              <w:rPr>
                <w:rFonts w:hint="eastAsia" w:ascii="方正仿宋简体" w:hAnsi="方正仿宋简体" w:eastAsia="方正仿宋简体" w:cs="方正仿宋简体"/>
                <w:b/>
                <w:bCs/>
                <w:sz w:val="19"/>
                <w:szCs w:val="19"/>
                <w:highlight w:val="none"/>
              </w:rPr>
            </w:pPr>
          </w:p>
          <w:p>
            <w:pPr>
              <w:spacing w:line="249" w:lineRule="auto"/>
              <w:jc w:val="both"/>
              <w:rPr>
                <w:rFonts w:hint="eastAsia" w:ascii="方正仿宋简体" w:hAnsi="方正仿宋简体" w:eastAsia="方正仿宋简体" w:cs="方正仿宋简体"/>
                <w:b/>
                <w:bCs/>
                <w:sz w:val="19"/>
                <w:szCs w:val="19"/>
                <w:highlight w:val="none"/>
              </w:rPr>
            </w:pPr>
          </w:p>
          <w:p>
            <w:pPr>
              <w:spacing w:line="249" w:lineRule="auto"/>
              <w:jc w:val="both"/>
              <w:rPr>
                <w:rFonts w:hint="eastAsia" w:ascii="方正仿宋简体" w:hAnsi="方正仿宋简体" w:eastAsia="方正仿宋简体" w:cs="方正仿宋简体"/>
                <w:b/>
                <w:bCs/>
                <w:sz w:val="19"/>
                <w:szCs w:val="19"/>
                <w:highlight w:val="none"/>
              </w:rPr>
            </w:pPr>
          </w:p>
          <w:p>
            <w:pPr>
              <w:spacing w:line="250" w:lineRule="auto"/>
              <w:jc w:val="both"/>
              <w:rPr>
                <w:rFonts w:hint="eastAsia" w:ascii="方正仿宋简体" w:hAnsi="方正仿宋简体" w:eastAsia="方正仿宋简体" w:cs="方正仿宋简体"/>
                <w:b/>
                <w:bCs/>
                <w:sz w:val="19"/>
                <w:szCs w:val="19"/>
                <w:highlight w:val="none"/>
              </w:rPr>
            </w:pPr>
          </w:p>
          <w:p>
            <w:pPr>
              <w:spacing w:line="250" w:lineRule="auto"/>
              <w:jc w:val="both"/>
              <w:rPr>
                <w:rFonts w:hint="eastAsia" w:ascii="方正仿宋简体" w:hAnsi="方正仿宋简体" w:eastAsia="方正仿宋简体" w:cs="方正仿宋简体"/>
                <w:b/>
                <w:bCs/>
                <w:sz w:val="19"/>
                <w:szCs w:val="19"/>
                <w:highlight w:val="none"/>
              </w:rPr>
            </w:pPr>
          </w:p>
          <w:p>
            <w:pPr>
              <w:spacing w:line="250" w:lineRule="auto"/>
              <w:jc w:val="both"/>
              <w:rPr>
                <w:rFonts w:hint="eastAsia" w:ascii="方正仿宋简体" w:hAnsi="方正仿宋简体" w:eastAsia="方正仿宋简体" w:cs="方正仿宋简体"/>
                <w:b/>
                <w:bCs/>
                <w:sz w:val="19"/>
                <w:szCs w:val="19"/>
                <w:highlight w:val="none"/>
              </w:rPr>
            </w:pPr>
          </w:p>
          <w:p>
            <w:pPr>
              <w:spacing w:line="250" w:lineRule="auto"/>
              <w:jc w:val="both"/>
              <w:rPr>
                <w:rFonts w:hint="eastAsia" w:ascii="方正仿宋简体" w:hAnsi="方正仿宋简体" w:eastAsia="方正仿宋简体" w:cs="方正仿宋简体"/>
                <w:b/>
                <w:bCs/>
                <w:sz w:val="19"/>
                <w:szCs w:val="19"/>
                <w:highlight w:val="none"/>
              </w:rPr>
            </w:pPr>
          </w:p>
          <w:p>
            <w:pPr>
              <w:spacing w:line="250" w:lineRule="auto"/>
              <w:jc w:val="both"/>
              <w:rPr>
                <w:rFonts w:hint="eastAsia" w:ascii="方正仿宋简体" w:hAnsi="方正仿宋简体" w:eastAsia="方正仿宋简体" w:cs="方正仿宋简体"/>
                <w:b/>
                <w:bCs/>
                <w:sz w:val="19"/>
                <w:szCs w:val="19"/>
                <w:highlight w:val="none"/>
              </w:rPr>
            </w:pPr>
          </w:p>
          <w:p>
            <w:pPr>
              <w:spacing w:line="250" w:lineRule="auto"/>
              <w:jc w:val="both"/>
              <w:rPr>
                <w:rFonts w:hint="eastAsia" w:ascii="方正仿宋简体" w:hAnsi="方正仿宋简体" w:eastAsia="方正仿宋简体" w:cs="方正仿宋简体"/>
                <w:b/>
                <w:bCs/>
                <w:sz w:val="19"/>
                <w:szCs w:val="19"/>
                <w:highlight w:val="none"/>
              </w:rPr>
            </w:pPr>
          </w:p>
          <w:p>
            <w:pPr>
              <w:spacing w:line="250" w:lineRule="auto"/>
              <w:jc w:val="both"/>
              <w:rPr>
                <w:rFonts w:hint="eastAsia" w:ascii="方正仿宋简体" w:hAnsi="方正仿宋简体" w:eastAsia="方正仿宋简体" w:cs="方正仿宋简体"/>
                <w:b/>
                <w:bCs/>
                <w:sz w:val="19"/>
                <w:szCs w:val="19"/>
                <w:highlight w:val="none"/>
              </w:rPr>
            </w:pPr>
          </w:p>
          <w:p>
            <w:pPr>
              <w:spacing w:line="250" w:lineRule="auto"/>
              <w:jc w:val="both"/>
              <w:rPr>
                <w:rFonts w:hint="eastAsia" w:ascii="方正仿宋简体" w:hAnsi="方正仿宋简体" w:eastAsia="方正仿宋简体" w:cs="方正仿宋简体"/>
                <w:b/>
                <w:bCs/>
                <w:sz w:val="19"/>
                <w:szCs w:val="19"/>
                <w:highlight w:val="none"/>
              </w:rPr>
            </w:pPr>
          </w:p>
          <w:p>
            <w:pPr>
              <w:spacing w:line="250" w:lineRule="auto"/>
              <w:jc w:val="both"/>
              <w:rPr>
                <w:rFonts w:hint="eastAsia" w:ascii="方正仿宋简体" w:hAnsi="方正仿宋简体" w:eastAsia="方正仿宋简体" w:cs="方正仿宋简体"/>
                <w:b/>
                <w:bCs/>
                <w:sz w:val="19"/>
                <w:szCs w:val="19"/>
                <w:highlight w:val="none"/>
              </w:rPr>
            </w:pPr>
          </w:p>
          <w:p>
            <w:pPr>
              <w:pStyle w:val="8"/>
              <w:spacing w:before="61" w:line="241" w:lineRule="auto"/>
              <w:ind w:left="275"/>
              <w:jc w:val="both"/>
              <w:rPr>
                <w:rFonts w:hint="eastAsia" w:ascii="方正仿宋简体" w:hAnsi="方正仿宋简体" w:eastAsia="方正仿宋简体" w:cs="方正仿宋简体"/>
                <w:b/>
                <w:bCs/>
                <w:sz w:val="19"/>
                <w:szCs w:val="19"/>
                <w:highlight w:val="none"/>
                <w:lang w:eastAsia="zh-CN"/>
              </w:rPr>
            </w:pPr>
            <w:r>
              <w:rPr>
                <w:rFonts w:hint="eastAsia" w:ascii="方正仿宋简体" w:hAnsi="方正仿宋简体" w:eastAsia="方正仿宋简体" w:cs="方正仿宋简体"/>
                <w:b/>
                <w:bCs/>
                <w:spacing w:val="-6"/>
                <w:sz w:val="19"/>
                <w:szCs w:val="19"/>
                <w:highlight w:val="none"/>
                <w:lang w:val="en-US" w:eastAsia="zh-CN"/>
              </w:rPr>
              <w:t>7</w:t>
            </w:r>
          </w:p>
        </w:tc>
        <w:tc>
          <w:tcPr>
            <w:tcW w:w="1719" w:type="dxa"/>
            <w:vAlign w:val="top"/>
          </w:tcPr>
          <w:p>
            <w:pPr>
              <w:spacing w:line="246" w:lineRule="auto"/>
              <w:jc w:val="both"/>
              <w:rPr>
                <w:rFonts w:hint="eastAsia" w:ascii="方正仿宋简体" w:hAnsi="方正仿宋简体" w:eastAsia="方正仿宋简体" w:cs="方正仿宋简体"/>
                <w:b/>
                <w:bCs/>
                <w:sz w:val="19"/>
                <w:szCs w:val="19"/>
                <w:highlight w:val="none"/>
              </w:rPr>
            </w:pPr>
          </w:p>
          <w:p>
            <w:pPr>
              <w:spacing w:line="246" w:lineRule="auto"/>
              <w:jc w:val="both"/>
              <w:rPr>
                <w:rFonts w:hint="eastAsia" w:ascii="方正仿宋简体" w:hAnsi="方正仿宋简体" w:eastAsia="方正仿宋简体" w:cs="方正仿宋简体"/>
                <w:b/>
                <w:bCs/>
                <w:sz w:val="19"/>
                <w:szCs w:val="19"/>
                <w:highlight w:val="none"/>
              </w:rPr>
            </w:pPr>
          </w:p>
          <w:p>
            <w:pPr>
              <w:spacing w:line="246" w:lineRule="auto"/>
              <w:jc w:val="both"/>
              <w:rPr>
                <w:rFonts w:hint="eastAsia" w:ascii="方正仿宋简体" w:hAnsi="方正仿宋简体" w:eastAsia="方正仿宋简体" w:cs="方正仿宋简体"/>
                <w:b/>
                <w:bCs/>
                <w:sz w:val="19"/>
                <w:szCs w:val="19"/>
                <w:highlight w:val="none"/>
              </w:rPr>
            </w:pPr>
          </w:p>
          <w:p>
            <w:pPr>
              <w:spacing w:line="246" w:lineRule="auto"/>
              <w:jc w:val="both"/>
              <w:rPr>
                <w:rFonts w:hint="eastAsia" w:ascii="方正仿宋简体" w:hAnsi="方正仿宋简体" w:eastAsia="方正仿宋简体" w:cs="方正仿宋简体"/>
                <w:b/>
                <w:bCs/>
                <w:sz w:val="19"/>
                <w:szCs w:val="19"/>
                <w:highlight w:val="none"/>
              </w:rPr>
            </w:pPr>
          </w:p>
          <w:p>
            <w:pPr>
              <w:spacing w:line="246"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pStyle w:val="8"/>
              <w:spacing w:before="62" w:line="273" w:lineRule="auto"/>
              <w:ind w:left="80" w:right="84" w:firstLine="1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
                <w:sz w:val="19"/>
                <w:szCs w:val="19"/>
                <w:highlight w:val="none"/>
              </w:rPr>
              <w:t>对《外商投资信息</w:t>
            </w:r>
            <w:r>
              <w:rPr>
                <w:rFonts w:hint="eastAsia" w:ascii="方正仿宋简体" w:hAnsi="方正仿宋简体" w:eastAsia="方正仿宋简体" w:cs="方正仿宋简体"/>
                <w:b/>
                <w:bCs/>
                <w:sz w:val="19"/>
                <w:szCs w:val="19"/>
                <w:highlight w:val="none"/>
              </w:rPr>
              <w:t>报告办法》规定事</w:t>
            </w:r>
            <w:r>
              <w:rPr>
                <w:rFonts w:hint="eastAsia" w:ascii="方正仿宋简体" w:hAnsi="方正仿宋简体" w:eastAsia="方正仿宋简体" w:cs="方正仿宋简体"/>
                <w:b/>
                <w:bCs/>
                <w:spacing w:val="2"/>
                <w:sz w:val="19"/>
                <w:szCs w:val="19"/>
                <w:highlight w:val="none"/>
              </w:rPr>
              <w:t>项的检查</w:t>
            </w:r>
          </w:p>
        </w:tc>
        <w:tc>
          <w:tcPr>
            <w:tcW w:w="8093" w:type="dxa"/>
            <w:vAlign w:val="top"/>
          </w:tcPr>
          <w:p>
            <w:pPr>
              <w:spacing w:line="452" w:lineRule="auto"/>
              <w:jc w:val="both"/>
              <w:rPr>
                <w:rFonts w:hint="eastAsia" w:ascii="方正仿宋简体" w:hAnsi="方正仿宋简体" w:eastAsia="方正仿宋简体" w:cs="方正仿宋简体"/>
                <w:b/>
                <w:bCs/>
                <w:sz w:val="19"/>
                <w:szCs w:val="19"/>
                <w:highlight w:val="none"/>
              </w:rPr>
            </w:pPr>
          </w:p>
          <w:p>
            <w:pPr>
              <w:pStyle w:val="8"/>
              <w:spacing w:before="61" w:line="244" w:lineRule="auto"/>
              <w:ind w:left="93" w:hanging="1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0"/>
                <w:sz w:val="19"/>
                <w:szCs w:val="19"/>
                <w:highlight w:val="none"/>
              </w:rPr>
              <w:t>1.外国投资者或者外商投资企业是否及时报送投资信息，是否遵循真实、准确、完整原则，是否</w:t>
            </w:r>
            <w:r>
              <w:rPr>
                <w:rFonts w:hint="eastAsia" w:ascii="方正仿宋简体" w:hAnsi="方正仿宋简体" w:eastAsia="方正仿宋简体" w:cs="方正仿宋简体"/>
                <w:b/>
                <w:bCs/>
                <w:spacing w:val="-11"/>
                <w:sz w:val="19"/>
                <w:szCs w:val="19"/>
                <w:highlight w:val="none"/>
              </w:rPr>
              <w:t>存在</w:t>
            </w:r>
            <w:r>
              <w:rPr>
                <w:rFonts w:hint="eastAsia" w:ascii="方正仿宋简体" w:hAnsi="方正仿宋简体" w:eastAsia="方正仿宋简体" w:cs="方正仿宋简体"/>
                <w:b/>
                <w:bCs/>
                <w:spacing w:val="-1"/>
                <w:sz w:val="19"/>
                <w:szCs w:val="19"/>
                <w:highlight w:val="none"/>
              </w:rPr>
              <w:t>进行虚假或误导性报告的行为，是否有重大遗漏。(第七条)</w:t>
            </w:r>
          </w:p>
          <w:p>
            <w:pPr>
              <w:pStyle w:val="8"/>
              <w:spacing w:before="35" w:line="256" w:lineRule="auto"/>
              <w:ind w:left="103" w:hanging="2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1"/>
                <w:sz w:val="19"/>
                <w:szCs w:val="19"/>
                <w:highlight w:val="none"/>
              </w:rPr>
              <w:t>2.</w:t>
            </w:r>
            <w:r>
              <w:rPr>
                <w:rFonts w:hint="eastAsia" w:ascii="方正仿宋简体" w:hAnsi="方正仿宋简体" w:eastAsia="方正仿宋简体" w:cs="方正仿宋简体"/>
                <w:b/>
                <w:bCs/>
                <w:spacing w:val="-10"/>
                <w:sz w:val="19"/>
                <w:szCs w:val="19"/>
                <w:highlight w:val="none"/>
              </w:rPr>
              <w:t>外国投资者或者外商投资企业是否按照规定通过提交初始报告、变更报告、注销报告、年度报</w:t>
            </w:r>
            <w:r>
              <w:rPr>
                <w:rFonts w:hint="eastAsia" w:ascii="方正仿宋简体" w:hAnsi="方正仿宋简体" w:eastAsia="方正仿宋简体" w:cs="方正仿宋简体"/>
                <w:b/>
                <w:bCs/>
                <w:spacing w:val="-11"/>
                <w:sz w:val="19"/>
                <w:szCs w:val="19"/>
                <w:highlight w:val="none"/>
              </w:rPr>
              <w:t>告</w:t>
            </w:r>
            <w:r>
              <w:rPr>
                <w:rFonts w:hint="eastAsia" w:ascii="方正仿宋简体" w:hAnsi="方正仿宋简体" w:eastAsia="方正仿宋简体" w:cs="方正仿宋简体"/>
                <w:b/>
                <w:bCs/>
                <w:spacing w:val="-9"/>
                <w:sz w:val="19"/>
                <w:szCs w:val="19"/>
                <w:highlight w:val="none"/>
              </w:rPr>
              <w:t>等</w:t>
            </w:r>
            <w:r>
              <w:rPr>
                <w:rFonts w:hint="eastAsia" w:ascii="方正仿宋简体" w:hAnsi="方正仿宋简体" w:eastAsia="方正仿宋简体" w:cs="方正仿宋简体"/>
                <w:b/>
                <w:bCs/>
                <w:sz w:val="19"/>
                <w:szCs w:val="19"/>
                <w:highlight w:val="none"/>
              </w:rPr>
              <w:t>方式报送投资信息。(第八条)</w:t>
            </w:r>
          </w:p>
          <w:p>
            <w:pPr>
              <w:pStyle w:val="8"/>
              <w:spacing w:before="34" w:line="247" w:lineRule="auto"/>
              <w:ind w:left="93" w:firstLine="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1"/>
                <w:sz w:val="19"/>
                <w:szCs w:val="19"/>
                <w:highlight w:val="none"/>
              </w:rPr>
              <w:t>3.</w:t>
            </w:r>
            <w:r>
              <w:rPr>
                <w:rFonts w:hint="eastAsia" w:ascii="方正仿宋简体" w:hAnsi="方正仿宋简体" w:eastAsia="方正仿宋简体" w:cs="方正仿宋简体"/>
                <w:b/>
                <w:bCs/>
                <w:spacing w:val="-10"/>
                <w:sz w:val="19"/>
                <w:szCs w:val="19"/>
                <w:highlight w:val="none"/>
              </w:rPr>
              <w:t>外国投资者在中国境内设立外商投资企业，是否</w:t>
            </w:r>
            <w:r>
              <w:rPr>
                <w:rFonts w:hint="eastAsia" w:ascii="方正仿宋简体" w:hAnsi="方正仿宋简体" w:eastAsia="方正仿宋简体" w:cs="方正仿宋简体"/>
                <w:b/>
                <w:bCs/>
                <w:spacing w:val="-11"/>
                <w:sz w:val="19"/>
                <w:szCs w:val="19"/>
                <w:highlight w:val="none"/>
              </w:rPr>
              <w:t>在办理外商投资企业设立登记时通过企业登记系</w:t>
            </w:r>
            <w:r>
              <w:rPr>
                <w:rFonts w:hint="eastAsia" w:ascii="方正仿宋简体" w:hAnsi="方正仿宋简体" w:eastAsia="方正仿宋简体" w:cs="方正仿宋简体"/>
                <w:b/>
                <w:bCs/>
                <w:spacing w:val="-9"/>
                <w:sz w:val="19"/>
                <w:szCs w:val="19"/>
                <w:highlight w:val="none"/>
              </w:rPr>
              <w:t>统</w:t>
            </w:r>
            <w:r>
              <w:rPr>
                <w:rFonts w:hint="eastAsia" w:ascii="方正仿宋简体" w:hAnsi="方正仿宋简体" w:eastAsia="方正仿宋简体" w:cs="方正仿宋简体"/>
                <w:b/>
                <w:bCs/>
                <w:spacing w:val="-11"/>
                <w:sz w:val="19"/>
                <w:szCs w:val="19"/>
                <w:highlight w:val="none"/>
              </w:rPr>
              <w:t>提交</w:t>
            </w:r>
            <w:r>
              <w:rPr>
                <w:rFonts w:hint="eastAsia" w:ascii="方正仿宋简体" w:hAnsi="方正仿宋简体" w:eastAsia="方正仿宋简体" w:cs="方正仿宋简体"/>
                <w:b/>
                <w:bCs/>
                <w:spacing w:val="-10"/>
                <w:sz w:val="19"/>
                <w:szCs w:val="19"/>
                <w:highlight w:val="none"/>
              </w:rPr>
              <w:t>初始报告。外国投资者股权并购境内非外商投资</w:t>
            </w:r>
            <w:r>
              <w:rPr>
                <w:rFonts w:hint="eastAsia" w:ascii="方正仿宋简体" w:hAnsi="方正仿宋简体" w:eastAsia="方正仿宋简体" w:cs="方正仿宋简体"/>
                <w:b/>
                <w:bCs/>
                <w:spacing w:val="-11"/>
                <w:sz w:val="19"/>
                <w:szCs w:val="19"/>
                <w:highlight w:val="none"/>
              </w:rPr>
              <w:t>企业，是否在在办理被并购企业变更登记时通</w:t>
            </w:r>
            <w:r>
              <w:rPr>
                <w:rFonts w:hint="eastAsia" w:ascii="方正仿宋简体" w:hAnsi="方正仿宋简体" w:eastAsia="方正仿宋简体" w:cs="方正仿宋简体"/>
                <w:b/>
                <w:bCs/>
                <w:spacing w:val="-9"/>
                <w:sz w:val="19"/>
                <w:szCs w:val="19"/>
                <w:highlight w:val="none"/>
              </w:rPr>
              <w:t>过</w:t>
            </w:r>
            <w:r>
              <w:rPr>
                <w:rFonts w:hint="eastAsia" w:ascii="方正仿宋简体" w:hAnsi="方正仿宋简体" w:eastAsia="方正仿宋简体" w:cs="方正仿宋简体"/>
                <w:b/>
                <w:bCs/>
                <w:spacing w:val="-1"/>
                <w:sz w:val="19"/>
                <w:szCs w:val="19"/>
                <w:highlight w:val="none"/>
              </w:rPr>
              <w:t>企业登记系统提交初始报告。(第九条)</w:t>
            </w:r>
          </w:p>
          <w:p>
            <w:pPr>
              <w:pStyle w:val="8"/>
              <w:spacing w:before="85" w:line="237" w:lineRule="auto"/>
              <w:ind w:left="103" w:hanging="4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0"/>
                <w:sz w:val="19"/>
                <w:szCs w:val="19"/>
                <w:highlight w:val="none"/>
              </w:rPr>
              <w:t>4.外国投资者提交初始报告，是否报送本企业基本信息、投资者及其实际控制人信息、投资交易信息</w:t>
            </w:r>
            <w:r>
              <w:rPr>
                <w:rFonts w:hint="eastAsia" w:ascii="方正仿宋简体" w:hAnsi="方正仿宋简体" w:eastAsia="方正仿宋简体" w:cs="方正仿宋简体"/>
                <w:b/>
                <w:bCs/>
                <w:spacing w:val="1"/>
                <w:sz w:val="19"/>
                <w:szCs w:val="19"/>
                <w:highlight w:val="none"/>
              </w:rPr>
              <w:t>等信息。(第十条)</w:t>
            </w:r>
          </w:p>
          <w:p>
            <w:pPr>
              <w:pStyle w:val="8"/>
              <w:spacing w:before="62" w:line="251" w:lineRule="auto"/>
              <w:ind w:left="53" w:firstLine="1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6"/>
                <w:sz w:val="19"/>
                <w:szCs w:val="19"/>
                <w:highlight w:val="none"/>
              </w:rPr>
              <w:t>5.初始报告的信息发生变更，涉及企业变更登记(备案)的，外商投资企业是否于办理企业变更登记</w:t>
            </w:r>
            <w:r>
              <w:rPr>
                <w:rFonts w:hint="eastAsia" w:ascii="方正仿宋简体" w:hAnsi="方正仿宋简体" w:eastAsia="方正仿宋简体" w:cs="方正仿宋简体"/>
                <w:b/>
                <w:bCs/>
                <w:spacing w:val="-2"/>
                <w:sz w:val="19"/>
                <w:szCs w:val="19"/>
                <w:highlight w:val="none"/>
              </w:rPr>
              <w:t>(备案)时通过企业登记系统提交变更报告。不涉及企业变更登记(备案)的，外商投资企业是否于</w:t>
            </w:r>
            <w:r>
              <w:rPr>
                <w:rFonts w:hint="eastAsia" w:ascii="方正仿宋简体" w:hAnsi="方正仿宋简体" w:eastAsia="方正仿宋简体" w:cs="方正仿宋简体"/>
                <w:b/>
                <w:bCs/>
                <w:sz w:val="19"/>
                <w:szCs w:val="19"/>
                <w:highlight w:val="none"/>
              </w:rPr>
              <w:t>变更事项发生后20个工作日内通过企业登记系统提交变更报告。(第十一条)</w:t>
            </w:r>
          </w:p>
          <w:p>
            <w:pPr>
              <w:pStyle w:val="8"/>
              <w:spacing w:before="67" w:line="241" w:lineRule="auto"/>
              <w:ind w:left="103" w:hanging="2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0"/>
                <w:sz w:val="19"/>
                <w:szCs w:val="19"/>
                <w:highlight w:val="none"/>
              </w:rPr>
              <w:t>6.外商投资企业提交变更报告，是否报送企业基本信息、投资者及其实际控制人信息、投资交易</w:t>
            </w:r>
            <w:r>
              <w:rPr>
                <w:rFonts w:hint="eastAsia" w:ascii="方正仿宋简体" w:hAnsi="方正仿宋简体" w:eastAsia="方正仿宋简体" w:cs="方正仿宋简体"/>
                <w:b/>
                <w:bCs/>
                <w:spacing w:val="-11"/>
                <w:sz w:val="19"/>
                <w:szCs w:val="19"/>
                <w:highlight w:val="none"/>
              </w:rPr>
              <w:t>信息</w:t>
            </w:r>
            <w:r>
              <w:rPr>
                <w:rFonts w:hint="eastAsia" w:ascii="方正仿宋简体" w:hAnsi="方正仿宋简体" w:eastAsia="方正仿宋简体" w:cs="方正仿宋简体"/>
                <w:b/>
                <w:bCs/>
                <w:sz w:val="19"/>
                <w:szCs w:val="19"/>
                <w:highlight w:val="none"/>
              </w:rPr>
              <w:t>等信息的变更情况。(第十二条)</w:t>
            </w:r>
          </w:p>
          <w:p>
            <w:pPr>
              <w:pStyle w:val="8"/>
              <w:spacing w:before="65" w:line="244" w:lineRule="auto"/>
              <w:ind w:left="103" w:right="116" w:hanging="1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2"/>
                <w:sz w:val="19"/>
                <w:szCs w:val="19"/>
                <w:highlight w:val="none"/>
              </w:rPr>
              <w:t>7.外商投资企业是否于每年1月1日至6月30日通过国家企业信用信</w:t>
            </w:r>
            <w:r>
              <w:rPr>
                <w:rFonts w:hint="eastAsia" w:ascii="方正仿宋简体" w:hAnsi="方正仿宋简体" w:eastAsia="方正仿宋简体" w:cs="方正仿宋简体"/>
                <w:b/>
                <w:bCs/>
                <w:spacing w:val="-3"/>
                <w:sz w:val="19"/>
                <w:szCs w:val="19"/>
                <w:highlight w:val="none"/>
              </w:rPr>
              <w:t>息公示系统提交上一年度的年</w:t>
            </w:r>
            <w:r>
              <w:rPr>
                <w:rFonts w:hint="eastAsia" w:ascii="方正仿宋简体" w:hAnsi="方正仿宋简体" w:eastAsia="方正仿宋简体" w:cs="方正仿宋简体"/>
                <w:b/>
                <w:bCs/>
                <w:spacing w:val="1"/>
                <w:sz w:val="19"/>
                <w:szCs w:val="19"/>
                <w:highlight w:val="none"/>
              </w:rPr>
              <w:t>度报告。(第十四条)</w:t>
            </w:r>
          </w:p>
          <w:p>
            <w:pPr>
              <w:pStyle w:val="8"/>
              <w:spacing w:before="45" w:line="237" w:lineRule="auto"/>
              <w:ind w:left="73" w:firstLine="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1"/>
                <w:sz w:val="19"/>
                <w:szCs w:val="19"/>
                <w:highlight w:val="none"/>
              </w:rPr>
              <w:t>8.外商投资企业提交年度报告，是否报送企业基本信息、投资者及其实际控制人信息、企业经营和资</w:t>
            </w:r>
            <w:r>
              <w:rPr>
                <w:rFonts w:hint="eastAsia" w:ascii="方正仿宋简体" w:hAnsi="方正仿宋简体" w:eastAsia="方正仿宋简体" w:cs="方正仿宋简体"/>
                <w:b/>
                <w:bCs/>
                <w:spacing w:val="-6"/>
                <w:sz w:val="19"/>
                <w:szCs w:val="19"/>
                <w:highlight w:val="none"/>
              </w:rPr>
              <w:t>产负债等信息，涉及外商投资准入特别管理措施的，是否报送获得相关行业许可信息。(第十五条)</w:t>
            </w:r>
          </w:p>
          <w:p>
            <w:pPr>
              <w:pStyle w:val="8"/>
              <w:spacing w:before="63" w:line="258" w:lineRule="auto"/>
              <w:ind w:left="83" w:hanging="2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11"/>
                <w:sz w:val="19"/>
                <w:szCs w:val="19"/>
                <w:highlight w:val="none"/>
              </w:rPr>
              <w:t>9</w:t>
            </w:r>
            <w:r>
              <w:rPr>
                <w:rFonts w:hint="eastAsia" w:ascii="方正仿宋简体" w:hAnsi="方正仿宋简体" w:eastAsia="方正仿宋简体" w:cs="方正仿宋简体"/>
                <w:b/>
                <w:bCs/>
                <w:spacing w:val="-10"/>
                <w:sz w:val="19"/>
                <w:szCs w:val="19"/>
                <w:highlight w:val="none"/>
              </w:rPr>
              <w:t>.外国投资者或者外商投资企业是否及时补报或更正未报、错报、漏报的有关投资信息。外商投资</w:t>
            </w:r>
            <w:r>
              <w:rPr>
                <w:rFonts w:hint="eastAsia" w:ascii="方正仿宋简体" w:hAnsi="方正仿宋简体" w:eastAsia="方正仿宋简体" w:cs="方正仿宋简体"/>
                <w:b/>
                <w:bCs/>
                <w:spacing w:val="-9"/>
                <w:sz w:val="19"/>
                <w:szCs w:val="19"/>
                <w:highlight w:val="none"/>
              </w:rPr>
              <w:t>企</w:t>
            </w:r>
            <w:r>
              <w:rPr>
                <w:rFonts w:hint="eastAsia" w:ascii="方正仿宋简体" w:hAnsi="方正仿宋简体" w:eastAsia="方正仿宋简体" w:cs="方正仿宋简体"/>
                <w:b/>
                <w:bCs/>
                <w:spacing w:val="-11"/>
                <w:sz w:val="19"/>
                <w:szCs w:val="19"/>
                <w:highlight w:val="none"/>
              </w:rPr>
              <w:t>业对</w:t>
            </w:r>
            <w:r>
              <w:rPr>
                <w:rFonts w:hint="eastAsia" w:ascii="方正仿宋简体" w:hAnsi="方正仿宋简体" w:eastAsia="方正仿宋简体" w:cs="方正仿宋简体"/>
                <w:b/>
                <w:bCs/>
                <w:spacing w:val="-10"/>
                <w:sz w:val="19"/>
                <w:szCs w:val="19"/>
                <w:highlight w:val="none"/>
              </w:rPr>
              <w:t>《企业信息公示暂行条例》第九条所列年度报告公示信息的补报或者更正</w:t>
            </w:r>
            <w:r>
              <w:rPr>
                <w:rFonts w:hint="eastAsia" w:ascii="方正仿宋简体" w:hAnsi="方正仿宋简体" w:eastAsia="方正仿宋简体" w:cs="方正仿宋简体"/>
                <w:b/>
                <w:bCs/>
                <w:spacing w:val="-11"/>
                <w:sz w:val="19"/>
                <w:szCs w:val="19"/>
                <w:highlight w:val="none"/>
              </w:rPr>
              <w:t>是否符合该条例有关</w:t>
            </w:r>
            <w:r>
              <w:rPr>
                <w:rFonts w:hint="eastAsia" w:ascii="方正仿宋简体" w:hAnsi="方正仿宋简体" w:eastAsia="方正仿宋简体" w:cs="方正仿宋简体"/>
                <w:b/>
                <w:bCs/>
                <w:spacing w:val="-9"/>
                <w:sz w:val="19"/>
                <w:szCs w:val="19"/>
                <w:highlight w:val="none"/>
              </w:rPr>
              <w:t>规</w:t>
            </w:r>
            <w:r>
              <w:rPr>
                <w:rFonts w:hint="eastAsia" w:ascii="方正仿宋简体" w:hAnsi="方正仿宋简体" w:eastAsia="方正仿宋简体" w:cs="方正仿宋简体"/>
                <w:b/>
                <w:bCs/>
                <w:spacing w:val="2"/>
                <w:sz w:val="19"/>
                <w:szCs w:val="19"/>
                <w:highlight w:val="none"/>
              </w:rPr>
              <w:t>定。(第十九条)</w:t>
            </w:r>
          </w:p>
        </w:tc>
        <w:tc>
          <w:tcPr>
            <w:tcW w:w="2033" w:type="dxa"/>
            <w:vAlign w:val="top"/>
          </w:tcPr>
          <w:p>
            <w:pPr>
              <w:spacing w:line="255" w:lineRule="auto"/>
              <w:jc w:val="both"/>
              <w:rPr>
                <w:rFonts w:hint="eastAsia" w:ascii="方正仿宋简体" w:hAnsi="方正仿宋简体" w:eastAsia="方正仿宋简体" w:cs="方正仿宋简体"/>
                <w:b/>
                <w:bCs/>
                <w:sz w:val="19"/>
                <w:szCs w:val="19"/>
                <w:highlight w:val="none"/>
              </w:rPr>
            </w:pPr>
          </w:p>
          <w:p>
            <w:pPr>
              <w:spacing w:line="255" w:lineRule="auto"/>
              <w:jc w:val="both"/>
              <w:rPr>
                <w:rFonts w:hint="eastAsia" w:ascii="方正仿宋简体" w:hAnsi="方正仿宋简体" w:eastAsia="方正仿宋简体" w:cs="方正仿宋简体"/>
                <w:b/>
                <w:bCs/>
                <w:sz w:val="19"/>
                <w:szCs w:val="19"/>
                <w:highlight w:val="none"/>
              </w:rPr>
            </w:pPr>
          </w:p>
          <w:p>
            <w:pPr>
              <w:spacing w:line="255" w:lineRule="auto"/>
              <w:jc w:val="both"/>
              <w:rPr>
                <w:rFonts w:hint="eastAsia" w:ascii="方正仿宋简体" w:hAnsi="方正仿宋简体" w:eastAsia="方正仿宋简体" w:cs="方正仿宋简体"/>
                <w:b/>
                <w:bCs/>
                <w:sz w:val="19"/>
                <w:szCs w:val="19"/>
                <w:highlight w:val="none"/>
              </w:rPr>
            </w:pPr>
          </w:p>
          <w:p>
            <w:pPr>
              <w:spacing w:line="255" w:lineRule="auto"/>
              <w:jc w:val="both"/>
              <w:rPr>
                <w:rFonts w:hint="eastAsia" w:ascii="方正仿宋简体" w:hAnsi="方正仿宋简体" w:eastAsia="方正仿宋简体" w:cs="方正仿宋简体"/>
                <w:b/>
                <w:bCs/>
                <w:sz w:val="19"/>
                <w:szCs w:val="19"/>
                <w:highlight w:val="none"/>
              </w:rPr>
            </w:pPr>
          </w:p>
          <w:p>
            <w:pPr>
              <w:spacing w:line="255" w:lineRule="auto"/>
              <w:jc w:val="both"/>
              <w:rPr>
                <w:rFonts w:hint="eastAsia" w:ascii="方正仿宋简体" w:hAnsi="方正仿宋简体" w:eastAsia="方正仿宋简体" w:cs="方正仿宋简体"/>
                <w:b/>
                <w:bCs/>
                <w:sz w:val="19"/>
                <w:szCs w:val="19"/>
                <w:highlight w:val="none"/>
              </w:rPr>
            </w:pPr>
          </w:p>
          <w:p>
            <w:pPr>
              <w:spacing w:line="255" w:lineRule="auto"/>
              <w:jc w:val="both"/>
              <w:rPr>
                <w:rFonts w:hint="eastAsia" w:ascii="方正仿宋简体" w:hAnsi="方正仿宋简体" w:eastAsia="方正仿宋简体" w:cs="方正仿宋简体"/>
                <w:b/>
                <w:bCs/>
                <w:sz w:val="19"/>
                <w:szCs w:val="19"/>
                <w:highlight w:val="none"/>
              </w:rPr>
            </w:pPr>
          </w:p>
          <w:p>
            <w:pPr>
              <w:spacing w:line="255" w:lineRule="auto"/>
              <w:jc w:val="both"/>
              <w:rPr>
                <w:rFonts w:hint="eastAsia" w:ascii="方正仿宋简体" w:hAnsi="方正仿宋简体" w:eastAsia="方正仿宋简体" w:cs="方正仿宋简体"/>
                <w:b/>
                <w:bCs/>
                <w:sz w:val="19"/>
                <w:szCs w:val="19"/>
                <w:highlight w:val="none"/>
              </w:rPr>
            </w:pPr>
          </w:p>
          <w:p>
            <w:pPr>
              <w:spacing w:line="255" w:lineRule="auto"/>
              <w:jc w:val="both"/>
              <w:rPr>
                <w:rFonts w:hint="eastAsia" w:ascii="方正仿宋简体" w:hAnsi="方正仿宋简体" w:eastAsia="方正仿宋简体" w:cs="方正仿宋简体"/>
                <w:b/>
                <w:bCs/>
                <w:sz w:val="19"/>
                <w:szCs w:val="19"/>
                <w:highlight w:val="none"/>
              </w:rPr>
            </w:pPr>
          </w:p>
          <w:p>
            <w:pPr>
              <w:spacing w:line="255" w:lineRule="auto"/>
              <w:jc w:val="both"/>
              <w:rPr>
                <w:rFonts w:hint="eastAsia" w:ascii="方正仿宋简体" w:hAnsi="方正仿宋简体" w:eastAsia="方正仿宋简体" w:cs="方正仿宋简体"/>
                <w:b/>
                <w:bCs/>
                <w:sz w:val="19"/>
                <w:szCs w:val="19"/>
                <w:highlight w:val="none"/>
              </w:rPr>
            </w:pPr>
          </w:p>
          <w:p>
            <w:pPr>
              <w:spacing w:line="256" w:lineRule="auto"/>
              <w:jc w:val="both"/>
              <w:rPr>
                <w:rFonts w:hint="eastAsia" w:ascii="方正仿宋简体" w:hAnsi="方正仿宋简体" w:eastAsia="方正仿宋简体" w:cs="方正仿宋简体"/>
                <w:b/>
                <w:bCs/>
                <w:sz w:val="19"/>
                <w:szCs w:val="19"/>
                <w:highlight w:val="none"/>
              </w:rPr>
            </w:pPr>
          </w:p>
          <w:p>
            <w:pPr>
              <w:spacing w:line="256" w:lineRule="auto"/>
              <w:jc w:val="both"/>
              <w:rPr>
                <w:rFonts w:hint="eastAsia" w:ascii="方正仿宋简体" w:hAnsi="方正仿宋简体" w:eastAsia="方正仿宋简体" w:cs="方正仿宋简体"/>
                <w:b/>
                <w:bCs/>
                <w:sz w:val="19"/>
                <w:szCs w:val="19"/>
                <w:highlight w:val="none"/>
              </w:rPr>
            </w:pPr>
          </w:p>
          <w:p>
            <w:pPr>
              <w:spacing w:line="256" w:lineRule="auto"/>
              <w:jc w:val="both"/>
              <w:rPr>
                <w:rFonts w:hint="eastAsia" w:ascii="方正仿宋简体" w:hAnsi="方正仿宋简体" w:eastAsia="方正仿宋简体" w:cs="方正仿宋简体"/>
                <w:b/>
                <w:bCs/>
                <w:sz w:val="19"/>
                <w:szCs w:val="19"/>
                <w:highlight w:val="none"/>
              </w:rPr>
            </w:pPr>
          </w:p>
          <w:p>
            <w:pPr>
              <w:pStyle w:val="8"/>
              <w:spacing w:before="61" w:line="304" w:lineRule="auto"/>
              <w:ind w:left="90" w:right="46" w:firstLine="5"/>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4"/>
                <w:sz w:val="19"/>
                <w:szCs w:val="19"/>
                <w:highlight w:val="none"/>
              </w:rPr>
              <w:t>《外商投资信息报告办</w:t>
            </w:r>
            <w:r>
              <w:rPr>
                <w:rFonts w:hint="eastAsia" w:ascii="方正仿宋简体" w:hAnsi="方正仿宋简体" w:eastAsia="方正仿宋简体" w:cs="方正仿宋简体"/>
                <w:b/>
                <w:bCs/>
                <w:spacing w:val="-6"/>
                <w:sz w:val="19"/>
                <w:szCs w:val="19"/>
                <w:highlight w:val="none"/>
              </w:rPr>
              <w:t>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56" w:hRule="atLeast"/>
        </w:trPr>
        <w:tc>
          <w:tcPr>
            <w:tcW w:w="755" w:type="dxa"/>
            <w:vAlign w:val="center"/>
          </w:tcPr>
          <w:p>
            <w:pPr>
              <w:pStyle w:val="8"/>
              <w:spacing w:before="61" w:line="241" w:lineRule="auto"/>
              <w:ind w:left="275"/>
              <w:jc w:val="both"/>
              <w:rPr>
                <w:rFonts w:hint="eastAsia" w:ascii="方正仿宋简体" w:hAnsi="方正仿宋简体" w:eastAsia="方正仿宋简体" w:cs="方正仿宋简体"/>
                <w:b/>
                <w:bCs/>
                <w:spacing w:val="-6"/>
                <w:sz w:val="19"/>
                <w:szCs w:val="19"/>
                <w:highlight w:val="none"/>
                <w:lang w:val="en-US" w:eastAsia="zh-CN"/>
              </w:rPr>
            </w:pPr>
            <w:r>
              <w:rPr>
                <w:rFonts w:hint="eastAsia" w:ascii="方正仿宋简体" w:hAnsi="方正仿宋简体" w:eastAsia="方正仿宋简体" w:cs="方正仿宋简体"/>
                <w:b/>
                <w:bCs/>
                <w:spacing w:val="-6"/>
                <w:sz w:val="19"/>
                <w:szCs w:val="19"/>
                <w:highlight w:val="none"/>
                <w:lang w:val="en-US" w:eastAsia="zh-CN"/>
              </w:rPr>
              <w:t>8</w:t>
            </w:r>
          </w:p>
        </w:tc>
        <w:tc>
          <w:tcPr>
            <w:tcW w:w="1719" w:type="dxa"/>
            <w:vAlign w:val="center"/>
          </w:tcPr>
          <w:p>
            <w:pPr>
              <w:pStyle w:val="8"/>
              <w:spacing w:before="62" w:line="273" w:lineRule="auto"/>
              <w:ind w:left="80" w:right="84" w:firstLine="10"/>
              <w:jc w:val="both"/>
              <w:rPr>
                <w:rFonts w:hint="eastAsia" w:ascii="方正仿宋简体" w:hAnsi="方正仿宋简体" w:eastAsia="方正仿宋简体" w:cs="方正仿宋简体"/>
                <w:b/>
                <w:bCs/>
                <w:spacing w:val="1"/>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对再生资源行业的监督检查</w:t>
            </w:r>
          </w:p>
        </w:tc>
        <w:tc>
          <w:tcPr>
            <w:tcW w:w="8093" w:type="dxa"/>
            <w:vAlign w:val="top"/>
          </w:tcPr>
          <w:p>
            <w:pPr>
              <w:pStyle w:val="8"/>
              <w:numPr>
                <w:ilvl w:val="0"/>
                <w:numId w:val="2"/>
              </w:numPr>
              <w:spacing w:before="63" w:line="258" w:lineRule="auto"/>
              <w:ind w:left="83" w:hanging="20"/>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县级以上商务主管部门负责制定和实施本行政区域内具体的行业发展规划和其他具体措施。（第十五条）</w:t>
            </w:r>
          </w:p>
          <w:p>
            <w:pPr>
              <w:pStyle w:val="8"/>
              <w:numPr>
                <w:ilvl w:val="0"/>
                <w:numId w:val="2"/>
              </w:numPr>
              <w:spacing w:before="63" w:line="258" w:lineRule="auto"/>
              <w:ind w:left="83" w:hanging="20"/>
              <w:jc w:val="both"/>
              <w:rPr>
                <w:rFonts w:hint="eastAsia" w:ascii="方正仿宋简体" w:hAnsi="方正仿宋简体" w:eastAsia="方正仿宋简体" w:cs="方正仿宋简体"/>
                <w:b/>
                <w:bCs/>
                <w:spacing w:val="-11"/>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县级以上城市商务主管部门应当会同发展改革（经贸）、公安、工商、环保、建设、城乡规划等行政管理部门，按照统筹规划、合理布局的原则，根据本地经济发展水平、人口密度、环境和资源等具体情况，制定再生资源回收网点规划。（第十六条）</w:t>
            </w:r>
          </w:p>
          <w:p>
            <w:pPr>
              <w:pStyle w:val="8"/>
              <w:numPr>
                <w:ilvl w:val="0"/>
                <w:numId w:val="0"/>
              </w:numPr>
              <w:spacing w:before="63" w:line="258" w:lineRule="auto"/>
              <w:ind w:left="63" w:leftChars="0"/>
              <w:jc w:val="both"/>
              <w:rPr>
                <w:rFonts w:hint="eastAsia" w:ascii="方正仿宋简体" w:hAnsi="方正仿宋简体" w:eastAsia="方正仿宋简体" w:cs="方正仿宋简体"/>
                <w:b/>
                <w:bCs/>
                <w:spacing w:val="-11"/>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3.《河北省再生资源回收管理规定》（省政府令2011年第16号，河北省人民政府l令〔2019〕第11号第一次修正，河北省人民政府令〔2022〕第1号第二次修正）第四条第一款：县级以上人民政府商务部门负责本行政区域内的再生资源回收管理工作。</w:t>
            </w:r>
          </w:p>
        </w:tc>
        <w:tc>
          <w:tcPr>
            <w:tcW w:w="2033"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spacing w:val="-4"/>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《再生资源回收管理办法》（商务部令2007年第8号）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56" w:hRule="atLeast"/>
        </w:trPr>
        <w:tc>
          <w:tcPr>
            <w:tcW w:w="755" w:type="dxa"/>
            <w:vAlign w:val="center"/>
          </w:tcPr>
          <w:p>
            <w:pPr>
              <w:pStyle w:val="8"/>
              <w:spacing w:before="61" w:line="241" w:lineRule="auto"/>
              <w:ind w:left="275"/>
              <w:jc w:val="both"/>
              <w:rPr>
                <w:rFonts w:hint="eastAsia" w:ascii="方正仿宋简体" w:hAnsi="方正仿宋简体" w:eastAsia="方正仿宋简体" w:cs="方正仿宋简体"/>
                <w:b/>
                <w:bCs/>
                <w:spacing w:val="-6"/>
                <w:sz w:val="19"/>
                <w:szCs w:val="19"/>
                <w:highlight w:val="none"/>
                <w:lang w:val="en-US" w:eastAsia="zh-CN"/>
              </w:rPr>
            </w:pPr>
            <w:r>
              <w:rPr>
                <w:rFonts w:hint="eastAsia" w:ascii="方正仿宋简体" w:hAnsi="方正仿宋简体" w:eastAsia="方正仿宋简体" w:cs="方正仿宋简体"/>
                <w:b/>
                <w:bCs/>
                <w:spacing w:val="-6"/>
                <w:sz w:val="19"/>
                <w:szCs w:val="19"/>
                <w:highlight w:val="none"/>
                <w:lang w:val="en-US" w:eastAsia="zh-CN"/>
              </w:rPr>
              <w:t>9</w:t>
            </w:r>
          </w:p>
        </w:tc>
        <w:tc>
          <w:tcPr>
            <w:tcW w:w="1719" w:type="dxa"/>
            <w:vAlign w:val="center"/>
          </w:tcPr>
          <w:p>
            <w:pPr>
              <w:pStyle w:val="8"/>
              <w:spacing w:before="62" w:line="273" w:lineRule="auto"/>
              <w:ind w:left="80" w:right="84" w:firstLine="10"/>
              <w:jc w:val="both"/>
              <w:rPr>
                <w:rFonts w:hint="eastAsia" w:ascii="方正仿宋简体" w:hAnsi="方正仿宋简体" w:eastAsia="方正仿宋简体" w:cs="方正仿宋简体"/>
                <w:b/>
                <w:bCs/>
                <w:spacing w:val="1"/>
                <w:sz w:val="19"/>
                <w:szCs w:val="19"/>
                <w:highlight w:val="none"/>
              </w:rPr>
            </w:pPr>
            <w:r>
              <w:rPr>
                <w:rFonts w:hint="eastAsia" w:ascii="方正仿宋简体" w:hAnsi="方正仿宋简体" w:eastAsia="方正仿宋简体" w:cs="方正仿宋简体"/>
                <w:b/>
                <w:bCs/>
                <w:i w:val="0"/>
                <w:color w:val="auto"/>
                <w:kern w:val="0"/>
                <w:sz w:val="19"/>
                <w:szCs w:val="19"/>
                <w:highlight w:val="none"/>
                <w:u w:val="none"/>
                <w:lang w:val="en-US" w:eastAsia="zh-CN" w:bidi="ar"/>
              </w:rPr>
              <w:t>对报废机动车回收活动的监督检查</w:t>
            </w:r>
          </w:p>
        </w:tc>
        <w:tc>
          <w:tcPr>
            <w:tcW w:w="8093" w:type="dxa"/>
            <w:vAlign w:val="center"/>
          </w:tcPr>
          <w:p>
            <w:pPr>
              <w:pStyle w:val="8"/>
              <w:numPr>
                <w:ilvl w:val="0"/>
                <w:numId w:val="3"/>
              </w:numPr>
              <w:spacing w:before="63" w:line="258" w:lineRule="auto"/>
              <w:ind w:left="83" w:hanging="20"/>
              <w:jc w:val="both"/>
              <w:rPr>
                <w:rFonts w:hint="eastAsia" w:ascii="方正仿宋简体" w:hAnsi="方正仿宋简体" w:eastAsia="方正仿宋简体" w:cs="方正仿宋简体"/>
                <w:b/>
                <w:bCs/>
                <w:i w:val="0"/>
                <w:color w:val="auto"/>
                <w:kern w:val="0"/>
                <w:sz w:val="19"/>
                <w:szCs w:val="19"/>
                <w:highlight w:val="none"/>
                <w:u w:val="none"/>
                <w:lang w:val="en-US" w:eastAsia="zh-CN" w:bidi="ar"/>
              </w:rPr>
            </w:pPr>
            <w:r>
              <w:rPr>
                <w:rFonts w:hint="eastAsia" w:ascii="方正仿宋简体" w:hAnsi="方正仿宋简体" w:eastAsia="方正仿宋简体" w:cs="方正仿宋简体"/>
                <w:b/>
                <w:bCs/>
                <w:i w:val="0"/>
                <w:color w:val="auto"/>
                <w:kern w:val="0"/>
                <w:sz w:val="19"/>
                <w:szCs w:val="19"/>
                <w:highlight w:val="none"/>
                <w:u w:val="none"/>
                <w:lang w:val="en-US" w:eastAsia="zh-CN" w:bidi="ar"/>
              </w:rPr>
              <w:t>国务院负责报废机动车回收管理的部门主管全国报废机动车回收（含拆解，下同）监督管理工作，国务院公安、生态环境、工业和信息化、交通运输、市场监督管理等部门在各自的职责范围内负责报废机动车回收有关的监督管理工作。县级以上地方人民政府负责报废机动车回收管理的部门对本行政区域内报废机动车回收活动实施监督管理。县级以上地方人民政府公安、生态环境、工业和信息化、交通运输、市场监督管理等部门在各自的职责范围内对本行政区域内报废机动车回收活动实施有关的监督管理。（《报废机动车回收管理办法》（国务院令第715号）第四条）</w:t>
            </w:r>
          </w:p>
          <w:p>
            <w:pPr>
              <w:pStyle w:val="8"/>
              <w:numPr>
                <w:ilvl w:val="0"/>
                <w:numId w:val="3"/>
              </w:numPr>
              <w:spacing w:before="63" w:line="258" w:lineRule="auto"/>
              <w:ind w:left="83" w:hanging="20"/>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auto"/>
                <w:kern w:val="0"/>
                <w:sz w:val="19"/>
                <w:szCs w:val="19"/>
                <w:highlight w:val="none"/>
                <w:u w:val="none"/>
                <w:lang w:val="en-US" w:eastAsia="zh-CN" w:bidi="ar"/>
              </w:rPr>
              <w:t>县级以上地方人民政府负责报废机动车回收管理的部门应当加强对报废机动车回收企业的监督检查，建立和完善以随机抽查为重点的日常监督检查制度，公布抽查事项目录，明确抽查的依据、频次、方式、内容和程序，随机抽取被检查企业，随机选派检查人员。抽查情况和查处结果应当及时向社会公布。在监督检查中发现报废机动车回收企业不具备本办法规定的资质认定条件的，应当责令限期改正；拒不改正或者逾期未改正的，由原发证部门吊销资质认定书。（《报废机动车回收管理办法》（国务院令第715号）第十六条）</w:t>
            </w:r>
          </w:p>
          <w:p>
            <w:pPr>
              <w:pStyle w:val="8"/>
              <w:numPr>
                <w:ilvl w:val="0"/>
                <w:numId w:val="3"/>
              </w:numPr>
              <w:spacing w:before="63" w:line="258" w:lineRule="auto"/>
              <w:ind w:left="83" w:hanging="20"/>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Style w:val="9"/>
                <w:rFonts w:hint="eastAsia" w:ascii="方正仿宋简体" w:hAnsi="方正仿宋简体" w:eastAsia="方正仿宋简体" w:cs="方正仿宋简体"/>
                <w:b/>
                <w:bCs/>
                <w:color w:val="auto"/>
                <w:sz w:val="19"/>
                <w:szCs w:val="19"/>
                <w:highlight w:val="none"/>
                <w:lang w:val="en-US" w:eastAsia="zh-CN" w:bidi="ar"/>
              </w:rPr>
              <w:t>拆解经营场地符合所在地城市总体规划或者国土空间规划及安全要求，不得建在居民区、商业区、引用水水源保护区及其他环境敏感区内。</w:t>
            </w:r>
            <w:r>
              <w:rPr>
                <w:rFonts w:hint="eastAsia" w:ascii="方正仿宋简体" w:hAnsi="方正仿宋简体" w:eastAsia="方正仿宋简体" w:cs="方正仿宋简体"/>
                <w:b/>
                <w:bCs/>
                <w:i w:val="0"/>
                <w:color w:val="auto"/>
                <w:kern w:val="0"/>
                <w:sz w:val="19"/>
                <w:szCs w:val="19"/>
                <w:highlight w:val="none"/>
                <w:u w:val="none"/>
                <w:lang w:val="en-US" w:eastAsia="zh-CN" w:bidi="ar"/>
              </w:rPr>
              <w:t>《报废机动车回收管理办法实施细则》（2020年第2号令第八条）</w:t>
            </w:r>
          </w:p>
          <w:p>
            <w:pPr>
              <w:pStyle w:val="8"/>
              <w:numPr>
                <w:ilvl w:val="0"/>
                <w:numId w:val="3"/>
              </w:numPr>
              <w:spacing w:before="63" w:line="258" w:lineRule="auto"/>
              <w:ind w:left="83" w:hanging="20"/>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Style w:val="10"/>
                <w:rFonts w:hint="eastAsia" w:ascii="方正仿宋简体" w:hAnsi="方正仿宋简体" w:eastAsia="方正仿宋简体" w:cs="方正仿宋简体"/>
                <w:b/>
                <w:bCs/>
                <w:color w:val="auto"/>
                <w:sz w:val="19"/>
                <w:szCs w:val="19"/>
                <w:highlight w:val="none"/>
                <w:lang w:val="en-US" w:eastAsia="zh-CN" w:bidi="ar"/>
              </w:rPr>
              <w:t>各级商务、发改、工信、公安、生态环境、交通运输、市场监管等部门及其工作人员应当按照《管理办法》和本细则规定履行职责。</w:t>
            </w:r>
            <w:r>
              <w:rPr>
                <w:rFonts w:hint="eastAsia" w:ascii="方正仿宋简体" w:hAnsi="方正仿宋简体" w:eastAsia="方正仿宋简体" w:cs="方正仿宋简体"/>
                <w:b/>
                <w:bCs/>
                <w:i w:val="0"/>
                <w:color w:val="auto"/>
                <w:kern w:val="0"/>
                <w:sz w:val="19"/>
                <w:szCs w:val="19"/>
                <w:highlight w:val="none"/>
                <w:u w:val="none"/>
                <w:lang w:val="en-US" w:eastAsia="zh-CN" w:bidi="ar"/>
              </w:rPr>
              <w:t>《报废机动车回收管理办法实施细则》（2020年第2号令第五十四条）</w:t>
            </w:r>
          </w:p>
        </w:tc>
        <w:tc>
          <w:tcPr>
            <w:tcW w:w="2033"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i w:val="0"/>
                <w:color w:val="auto"/>
                <w:kern w:val="0"/>
                <w:sz w:val="19"/>
                <w:szCs w:val="19"/>
                <w:highlight w:val="none"/>
                <w:u w:val="none"/>
                <w:lang w:val="en-US" w:eastAsia="zh-CN" w:bidi="ar"/>
              </w:rPr>
            </w:pPr>
            <w:r>
              <w:rPr>
                <w:rFonts w:hint="eastAsia" w:ascii="方正仿宋简体" w:hAnsi="方正仿宋简体" w:eastAsia="方正仿宋简体" w:cs="方正仿宋简体"/>
                <w:b/>
                <w:bCs/>
                <w:i w:val="0"/>
                <w:color w:val="auto"/>
                <w:kern w:val="0"/>
                <w:sz w:val="19"/>
                <w:szCs w:val="19"/>
                <w:highlight w:val="none"/>
                <w:u w:val="none"/>
                <w:lang w:val="en-US" w:eastAsia="zh-CN" w:bidi="ar"/>
              </w:rPr>
              <w:t>《报废机动车回收管理办法》（国务院令第715号）</w:t>
            </w:r>
          </w:p>
          <w:p>
            <w:pPr>
              <w:pStyle w:val="8"/>
              <w:spacing w:before="61" w:line="304" w:lineRule="auto"/>
              <w:ind w:left="90" w:right="46" w:firstLine="5"/>
              <w:jc w:val="both"/>
              <w:rPr>
                <w:rFonts w:hint="eastAsia" w:ascii="方正仿宋简体" w:hAnsi="方正仿宋简体" w:eastAsia="方正仿宋简体" w:cs="方正仿宋简体"/>
                <w:b/>
                <w:bCs/>
                <w:i w:val="0"/>
                <w:color w:val="auto"/>
                <w:kern w:val="0"/>
                <w:sz w:val="19"/>
                <w:szCs w:val="19"/>
                <w:highlight w:val="none"/>
                <w:u w:val="none"/>
                <w:lang w:val="en-US" w:eastAsia="zh-CN" w:bidi="ar"/>
              </w:rPr>
            </w:pPr>
            <w:r>
              <w:rPr>
                <w:rFonts w:hint="eastAsia" w:ascii="方正仿宋简体" w:hAnsi="方正仿宋简体" w:eastAsia="方正仿宋简体" w:cs="方正仿宋简体"/>
                <w:b/>
                <w:bCs/>
                <w:i w:val="0"/>
                <w:color w:val="auto"/>
                <w:kern w:val="0"/>
                <w:sz w:val="19"/>
                <w:szCs w:val="19"/>
                <w:highlight w:val="none"/>
                <w:u w:val="none"/>
                <w:lang w:val="en-US" w:eastAsia="zh-CN" w:bidi="ar"/>
              </w:rPr>
              <w:t>《报废机动车回收管理办法实施细则》（2020年第2号令）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56" w:hRule="atLeast"/>
        </w:trPr>
        <w:tc>
          <w:tcPr>
            <w:tcW w:w="755" w:type="dxa"/>
            <w:vAlign w:val="center"/>
          </w:tcPr>
          <w:p>
            <w:pPr>
              <w:pStyle w:val="8"/>
              <w:spacing w:before="61" w:line="241" w:lineRule="auto"/>
              <w:ind w:left="275"/>
              <w:jc w:val="both"/>
              <w:rPr>
                <w:rFonts w:hint="eastAsia" w:ascii="方正仿宋简体" w:hAnsi="方正仿宋简体" w:eastAsia="方正仿宋简体" w:cs="方正仿宋简体"/>
                <w:b/>
                <w:bCs/>
                <w:spacing w:val="-6"/>
                <w:sz w:val="19"/>
                <w:szCs w:val="19"/>
                <w:highlight w:val="none"/>
                <w:lang w:val="en-US" w:eastAsia="zh-CN"/>
              </w:rPr>
            </w:pPr>
            <w:r>
              <w:rPr>
                <w:rFonts w:hint="eastAsia" w:ascii="方正仿宋简体" w:hAnsi="方正仿宋简体" w:eastAsia="方正仿宋简体" w:cs="方正仿宋简体"/>
                <w:b/>
                <w:bCs/>
                <w:spacing w:val="-6"/>
                <w:sz w:val="19"/>
                <w:szCs w:val="19"/>
                <w:highlight w:val="none"/>
                <w:lang w:val="en-US" w:eastAsia="zh-CN"/>
              </w:rPr>
              <w:t>10</w:t>
            </w:r>
          </w:p>
        </w:tc>
        <w:tc>
          <w:tcPr>
            <w:tcW w:w="1719" w:type="dxa"/>
            <w:vAlign w:val="center"/>
          </w:tcPr>
          <w:p>
            <w:pPr>
              <w:pStyle w:val="8"/>
              <w:spacing w:before="62" w:line="273" w:lineRule="auto"/>
              <w:ind w:left="80" w:right="84" w:firstLine="10"/>
              <w:jc w:val="both"/>
              <w:rPr>
                <w:rFonts w:hint="eastAsia" w:ascii="方正仿宋简体" w:hAnsi="方正仿宋简体" w:eastAsia="方正仿宋简体" w:cs="方正仿宋简体"/>
                <w:b/>
                <w:bCs/>
                <w:spacing w:val="1"/>
                <w:sz w:val="19"/>
                <w:szCs w:val="19"/>
                <w:highlight w:val="none"/>
              </w:rPr>
            </w:pPr>
            <w:r>
              <w:rPr>
                <w:rFonts w:hint="eastAsia" w:ascii="方正仿宋简体" w:hAnsi="方正仿宋简体" w:eastAsia="方正仿宋简体" w:cs="方正仿宋简体"/>
                <w:b/>
                <w:bCs/>
                <w:i w:val="0"/>
                <w:color w:val="auto"/>
                <w:kern w:val="0"/>
                <w:sz w:val="19"/>
                <w:szCs w:val="19"/>
                <w:highlight w:val="none"/>
                <w:u w:val="none"/>
                <w:lang w:val="en-US" w:eastAsia="zh-CN" w:bidi="ar"/>
              </w:rPr>
              <w:t>对《汽车销售管理办法》规定事项的检查</w:t>
            </w:r>
          </w:p>
        </w:tc>
        <w:tc>
          <w:tcPr>
            <w:tcW w:w="8093" w:type="dxa"/>
            <w:vAlign w:val="center"/>
          </w:tcPr>
          <w:p>
            <w:pPr>
              <w:pStyle w:val="8"/>
              <w:spacing w:before="63" w:line="258" w:lineRule="auto"/>
              <w:ind w:left="83" w:hanging="20"/>
              <w:jc w:val="both"/>
              <w:rPr>
                <w:rFonts w:hint="default" w:ascii="方正仿宋简体" w:hAnsi="方正仿宋简体" w:eastAsia="方正仿宋简体" w:cs="方正仿宋简体"/>
                <w:b/>
                <w:bCs/>
                <w:i w:val="0"/>
                <w:color w:val="auto"/>
                <w:kern w:val="0"/>
                <w:sz w:val="19"/>
                <w:szCs w:val="19"/>
                <w:highlight w:val="none"/>
                <w:u w:val="none"/>
                <w:lang w:val="en-US" w:eastAsia="zh-CN" w:bidi="ar"/>
              </w:rPr>
            </w:pPr>
            <w:r>
              <w:rPr>
                <w:rFonts w:hint="eastAsia" w:ascii="方正仿宋简体" w:hAnsi="方正仿宋简体" w:eastAsia="方正仿宋简体" w:cs="方正仿宋简体"/>
                <w:b/>
                <w:bCs/>
                <w:i w:val="0"/>
                <w:color w:val="auto"/>
                <w:kern w:val="0"/>
                <w:sz w:val="19"/>
                <w:szCs w:val="19"/>
                <w:highlight w:val="none"/>
                <w:u w:val="none"/>
                <w:lang w:val="en-US" w:eastAsia="zh-CN" w:bidi="ar"/>
              </w:rPr>
              <w:t>县级以上地方商务主管部门依据本办法对本行政区域内汽车销售及其相关服务活动进行监督管理。(第七条）</w:t>
            </w:r>
          </w:p>
        </w:tc>
        <w:tc>
          <w:tcPr>
            <w:tcW w:w="2033"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spacing w:val="-4"/>
                <w:sz w:val="19"/>
                <w:szCs w:val="19"/>
                <w:highlight w:val="none"/>
              </w:rPr>
            </w:pPr>
            <w:r>
              <w:rPr>
                <w:rFonts w:hint="eastAsia" w:ascii="方正仿宋简体" w:hAnsi="方正仿宋简体" w:eastAsia="方正仿宋简体" w:cs="方正仿宋简体"/>
                <w:b/>
                <w:bCs/>
                <w:i w:val="0"/>
                <w:color w:val="auto"/>
                <w:kern w:val="0"/>
                <w:sz w:val="19"/>
                <w:szCs w:val="19"/>
                <w:highlight w:val="none"/>
                <w:u w:val="none"/>
                <w:lang w:val="en-US" w:eastAsia="zh-CN" w:bidi="ar"/>
              </w:rPr>
              <w:t>《汽车销售管理办法》（商务部令2017年第1号）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56" w:hRule="atLeast"/>
        </w:trPr>
        <w:tc>
          <w:tcPr>
            <w:tcW w:w="755"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11</w:t>
            </w:r>
          </w:p>
        </w:tc>
        <w:tc>
          <w:tcPr>
            <w:tcW w:w="1719"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对零售商经营行为的监督检查</w:t>
            </w:r>
          </w:p>
        </w:tc>
        <w:tc>
          <w:tcPr>
            <w:tcW w:w="8093"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1.各地商务、价格、税务、工商等部门依照法律法规及本办法，在各自的职责范围内对本办法规定的行为进行监督管理。（《零售商供应商公平交易管理办法》（商务部令2006年第17号）</w:t>
            </w:r>
          </w:p>
          <w:p>
            <w:pPr>
              <w:pStyle w:val="8"/>
              <w:numPr>
                <w:ilvl w:val="0"/>
                <w:numId w:val="0"/>
              </w:numPr>
              <w:spacing w:before="63" w:line="258" w:lineRule="auto"/>
              <w:ind w:left="63" w:leftChars="0"/>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第二十一条）</w:t>
            </w:r>
          </w:p>
          <w:p>
            <w:pPr>
              <w:pStyle w:val="8"/>
              <w:numPr>
                <w:ilvl w:val="0"/>
                <w:numId w:val="0"/>
              </w:numPr>
              <w:spacing w:before="63" w:line="258" w:lineRule="auto"/>
              <w:ind w:left="63" w:leftChars="0"/>
              <w:jc w:val="both"/>
              <w:rPr>
                <w:rFonts w:hint="eastAsia" w:ascii="方正仿宋简体" w:hAnsi="方正仿宋简体" w:eastAsia="方正仿宋简体" w:cs="方正仿宋简体"/>
                <w:b/>
                <w:bCs/>
                <w:i w:val="0"/>
                <w:color w:val="auto"/>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2.各地商务、价格、税务、工商等部门依照法律法规及有关规定，在各自职责范围内对促销行为进行监督管理。对涉嫌犯罪的，由公安机关依法予以查处。（《零售商促销行为管理办法》（商务部2006年第18号令）第二十一条）</w:t>
            </w:r>
          </w:p>
        </w:tc>
        <w:tc>
          <w:tcPr>
            <w:tcW w:w="2033"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《零售商供应商公平交易管理办法》（商务部令2006年第17号）</w:t>
            </w:r>
          </w:p>
          <w:p>
            <w:pPr>
              <w:pStyle w:val="8"/>
              <w:spacing w:before="61" w:line="304" w:lineRule="auto"/>
              <w:ind w:left="90" w:right="46" w:firstLine="5"/>
              <w:jc w:val="both"/>
              <w:rPr>
                <w:rFonts w:hint="eastAsia" w:ascii="方正仿宋简体" w:hAnsi="方正仿宋简体" w:eastAsia="方正仿宋简体" w:cs="方正仿宋简体"/>
                <w:b/>
                <w:bCs/>
                <w:spacing w:val="-4"/>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《零售商促销行为管理办法》（商务部2006年第18号令）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56" w:hRule="atLeast"/>
        </w:trPr>
        <w:tc>
          <w:tcPr>
            <w:tcW w:w="755" w:type="dxa"/>
            <w:vAlign w:val="center"/>
          </w:tcPr>
          <w:p>
            <w:pPr>
              <w:pStyle w:val="8"/>
              <w:spacing w:before="61" w:line="241" w:lineRule="auto"/>
              <w:ind w:left="275"/>
              <w:jc w:val="both"/>
              <w:rPr>
                <w:rFonts w:hint="eastAsia" w:ascii="方正仿宋简体" w:hAnsi="方正仿宋简体" w:eastAsia="方正仿宋简体" w:cs="方正仿宋简体"/>
                <w:b/>
                <w:bCs/>
                <w:spacing w:val="-6"/>
                <w:sz w:val="19"/>
                <w:szCs w:val="19"/>
                <w:highlight w:val="none"/>
                <w:lang w:val="en-US" w:eastAsia="zh-CN"/>
              </w:rPr>
            </w:pPr>
            <w:r>
              <w:rPr>
                <w:rFonts w:hint="eastAsia" w:ascii="方正仿宋简体" w:hAnsi="方正仿宋简体" w:eastAsia="方正仿宋简体" w:cs="方正仿宋简体"/>
                <w:b/>
                <w:bCs/>
                <w:spacing w:val="-6"/>
                <w:sz w:val="19"/>
                <w:szCs w:val="19"/>
                <w:highlight w:val="none"/>
                <w:lang w:val="en-US" w:eastAsia="zh-CN"/>
              </w:rPr>
              <w:t>12</w:t>
            </w:r>
          </w:p>
        </w:tc>
        <w:tc>
          <w:tcPr>
            <w:tcW w:w="1719" w:type="dxa"/>
            <w:vAlign w:val="center"/>
          </w:tcPr>
          <w:p>
            <w:pPr>
              <w:pStyle w:val="8"/>
              <w:spacing w:before="62" w:line="273" w:lineRule="auto"/>
              <w:ind w:left="80" w:right="84" w:firstLine="10"/>
              <w:jc w:val="both"/>
              <w:rPr>
                <w:rFonts w:hint="eastAsia" w:ascii="方正仿宋简体" w:hAnsi="方正仿宋简体" w:eastAsia="方正仿宋简体" w:cs="方正仿宋简体"/>
                <w:b/>
                <w:bCs/>
                <w:spacing w:val="1"/>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对《美容美发业管理暂行办法》</w:t>
            </w:r>
            <w:r>
              <w:rPr>
                <w:rFonts w:hint="eastAsia" w:ascii="方正仿宋简体" w:hAnsi="方正仿宋简体" w:eastAsia="方正仿宋简体" w:cs="方正仿宋简体"/>
                <w:b/>
                <w:bCs/>
                <w:i w:val="0"/>
                <w:color w:val="auto"/>
                <w:kern w:val="0"/>
                <w:sz w:val="19"/>
                <w:szCs w:val="19"/>
                <w:highlight w:val="none"/>
                <w:u w:val="none"/>
                <w:lang w:val="en-US" w:eastAsia="zh-CN" w:bidi="ar"/>
              </w:rPr>
              <w:t>规定事项的检查</w:t>
            </w:r>
          </w:p>
        </w:tc>
        <w:tc>
          <w:tcPr>
            <w:tcW w:w="8093" w:type="dxa"/>
            <w:vAlign w:val="center"/>
          </w:tcPr>
          <w:p>
            <w:pPr>
              <w:pStyle w:val="8"/>
              <w:spacing w:before="63" w:line="258" w:lineRule="auto"/>
              <w:ind w:left="83" w:hanging="20"/>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商务部主管全国美容美发业工作，各级商务主管部门在本行政区域内对美容美发业进行指导、协调、监督和管理。（第三条）</w:t>
            </w:r>
          </w:p>
        </w:tc>
        <w:tc>
          <w:tcPr>
            <w:tcW w:w="2033"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spacing w:val="-4"/>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《美容美发业管理暂行办法》（商务部令2004年第19号）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56" w:hRule="atLeast"/>
        </w:trPr>
        <w:tc>
          <w:tcPr>
            <w:tcW w:w="755" w:type="dxa"/>
            <w:vAlign w:val="center"/>
          </w:tcPr>
          <w:p>
            <w:pPr>
              <w:pStyle w:val="8"/>
              <w:spacing w:before="61" w:line="241" w:lineRule="auto"/>
              <w:ind w:left="275"/>
              <w:jc w:val="both"/>
              <w:rPr>
                <w:rFonts w:hint="eastAsia" w:ascii="方正仿宋简体" w:hAnsi="方正仿宋简体" w:eastAsia="方正仿宋简体" w:cs="方正仿宋简体"/>
                <w:b/>
                <w:bCs/>
                <w:spacing w:val="-6"/>
                <w:sz w:val="19"/>
                <w:szCs w:val="19"/>
                <w:highlight w:val="none"/>
                <w:lang w:val="en-US" w:eastAsia="zh-CN"/>
              </w:rPr>
            </w:pPr>
            <w:r>
              <w:rPr>
                <w:rFonts w:hint="eastAsia" w:ascii="方正仿宋简体" w:hAnsi="方正仿宋简体" w:eastAsia="方正仿宋简体" w:cs="方正仿宋简体"/>
                <w:b/>
                <w:bCs/>
                <w:spacing w:val="-6"/>
                <w:sz w:val="19"/>
                <w:szCs w:val="19"/>
                <w:highlight w:val="none"/>
                <w:lang w:val="en-US" w:eastAsia="zh-CN"/>
              </w:rPr>
              <w:t>13</w:t>
            </w:r>
          </w:p>
        </w:tc>
        <w:tc>
          <w:tcPr>
            <w:tcW w:w="1719" w:type="dxa"/>
            <w:vAlign w:val="center"/>
          </w:tcPr>
          <w:p>
            <w:pPr>
              <w:pStyle w:val="8"/>
              <w:spacing w:before="62" w:line="273" w:lineRule="auto"/>
              <w:ind w:left="80" w:right="84" w:firstLine="10"/>
              <w:jc w:val="both"/>
              <w:rPr>
                <w:rFonts w:hint="eastAsia" w:ascii="方正仿宋简体" w:hAnsi="方正仿宋简体" w:eastAsia="方正仿宋简体" w:cs="方正仿宋简体"/>
                <w:b/>
                <w:bCs/>
                <w:spacing w:val="1"/>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对《洗染业管理办法》</w:t>
            </w:r>
            <w:r>
              <w:rPr>
                <w:rFonts w:hint="eastAsia" w:ascii="方正仿宋简体" w:hAnsi="方正仿宋简体" w:eastAsia="方正仿宋简体" w:cs="方正仿宋简体"/>
                <w:b/>
                <w:bCs/>
                <w:i w:val="0"/>
                <w:color w:val="auto"/>
                <w:kern w:val="0"/>
                <w:sz w:val="19"/>
                <w:szCs w:val="19"/>
                <w:highlight w:val="none"/>
                <w:u w:val="none"/>
                <w:lang w:val="en-US" w:eastAsia="zh-CN" w:bidi="ar"/>
              </w:rPr>
              <w:t>规定事项的检查</w:t>
            </w:r>
          </w:p>
        </w:tc>
        <w:tc>
          <w:tcPr>
            <w:tcW w:w="8093" w:type="dxa"/>
            <w:vAlign w:val="center"/>
          </w:tcPr>
          <w:p>
            <w:pPr>
              <w:pStyle w:val="8"/>
              <w:spacing w:before="63" w:line="258" w:lineRule="auto"/>
              <w:ind w:left="83" w:hanging="20"/>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商务部对全国洗染行业进行指导、协调、监督和管理，地方各级商务主管部门负责本行政区域内洗染行业指导、协调、监督和管理工作。（第三条）</w:t>
            </w:r>
          </w:p>
        </w:tc>
        <w:tc>
          <w:tcPr>
            <w:tcW w:w="2033"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spacing w:val="-4"/>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《洗染业管理办法》（商务部令2007年第5号）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56" w:hRule="atLeast"/>
        </w:trPr>
        <w:tc>
          <w:tcPr>
            <w:tcW w:w="755" w:type="dxa"/>
            <w:vAlign w:val="center"/>
          </w:tcPr>
          <w:p>
            <w:pPr>
              <w:pStyle w:val="8"/>
              <w:spacing w:before="61" w:line="241" w:lineRule="auto"/>
              <w:ind w:left="275"/>
              <w:jc w:val="both"/>
              <w:rPr>
                <w:rFonts w:hint="eastAsia" w:ascii="方正仿宋简体" w:hAnsi="方正仿宋简体" w:eastAsia="方正仿宋简体" w:cs="方正仿宋简体"/>
                <w:b/>
                <w:bCs/>
                <w:spacing w:val="-6"/>
                <w:sz w:val="19"/>
                <w:szCs w:val="19"/>
                <w:highlight w:val="none"/>
                <w:lang w:val="en-US" w:eastAsia="zh-CN"/>
              </w:rPr>
            </w:pPr>
            <w:r>
              <w:rPr>
                <w:rFonts w:hint="eastAsia" w:ascii="方正仿宋简体" w:hAnsi="方正仿宋简体" w:eastAsia="方正仿宋简体" w:cs="方正仿宋简体"/>
                <w:b/>
                <w:bCs/>
                <w:spacing w:val="-6"/>
                <w:sz w:val="19"/>
                <w:szCs w:val="19"/>
                <w:highlight w:val="none"/>
                <w:lang w:val="en-US" w:eastAsia="zh-CN"/>
              </w:rPr>
              <w:t>14</w:t>
            </w:r>
          </w:p>
        </w:tc>
        <w:tc>
          <w:tcPr>
            <w:tcW w:w="1719" w:type="dxa"/>
            <w:vAlign w:val="center"/>
          </w:tcPr>
          <w:p>
            <w:pPr>
              <w:pStyle w:val="8"/>
              <w:spacing w:before="62" w:line="273" w:lineRule="auto"/>
              <w:ind w:left="80" w:right="84" w:firstLine="10"/>
              <w:jc w:val="both"/>
              <w:rPr>
                <w:rFonts w:hint="eastAsia" w:ascii="方正仿宋简体" w:hAnsi="方正仿宋简体" w:eastAsia="方正仿宋简体" w:cs="方正仿宋简体"/>
                <w:b/>
                <w:bCs/>
                <w:spacing w:val="1"/>
                <w:sz w:val="19"/>
                <w:szCs w:val="19"/>
                <w:highlight w:val="none"/>
              </w:rPr>
            </w:pPr>
            <w:r>
              <w:rPr>
                <w:rFonts w:hint="eastAsia" w:ascii="方正仿宋简体" w:hAnsi="方正仿宋简体" w:eastAsia="方正仿宋简体" w:cs="方正仿宋简体"/>
                <w:b/>
                <w:bCs/>
                <w:i w:val="0"/>
                <w:color w:val="auto"/>
                <w:kern w:val="0"/>
                <w:sz w:val="19"/>
                <w:szCs w:val="19"/>
                <w:highlight w:val="none"/>
                <w:u w:val="none"/>
                <w:lang w:val="en-US" w:eastAsia="zh-CN" w:bidi="ar"/>
              </w:rPr>
              <w:t>对</w:t>
            </w: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《家电维修服务业管理办法》规</w:t>
            </w:r>
            <w:r>
              <w:rPr>
                <w:rFonts w:hint="eastAsia" w:ascii="方正仿宋简体" w:hAnsi="方正仿宋简体" w:eastAsia="方正仿宋简体" w:cs="方正仿宋简体"/>
                <w:b/>
                <w:bCs/>
                <w:i w:val="0"/>
                <w:color w:val="auto"/>
                <w:kern w:val="0"/>
                <w:sz w:val="19"/>
                <w:szCs w:val="19"/>
                <w:highlight w:val="none"/>
                <w:u w:val="none"/>
                <w:lang w:val="en-US" w:eastAsia="zh-CN" w:bidi="ar"/>
              </w:rPr>
              <w:t>定事项的检查</w:t>
            </w:r>
          </w:p>
        </w:tc>
        <w:tc>
          <w:tcPr>
            <w:tcW w:w="8093" w:type="dxa"/>
            <w:vAlign w:val="center"/>
          </w:tcPr>
          <w:p>
            <w:pPr>
              <w:pStyle w:val="8"/>
              <w:spacing w:before="63" w:line="258" w:lineRule="auto"/>
              <w:ind w:left="83" w:hanging="20"/>
              <w:jc w:val="both"/>
              <w:rPr>
                <w:rFonts w:hint="eastAsia" w:ascii="方正仿宋简体" w:hAnsi="方正仿宋简体" w:eastAsia="方正仿宋简体" w:cs="方正仿宋简体"/>
                <w:b/>
                <w:bCs/>
                <w:i w:val="0"/>
                <w:color w:val="000000"/>
                <w:kern w:val="0"/>
                <w:sz w:val="19"/>
                <w:szCs w:val="19"/>
                <w:highlight w:val="none"/>
                <w:u w:val="none"/>
                <w:lang w:val="en-US" w:eastAsia="zh-CN" w:bidi="ar"/>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商务部负责家电维修服务业的行业管理工作，各级商务主管部门负责本行政区域内的家电维修服务业的指导、协调和监督管理工作。（第三条）</w:t>
            </w:r>
          </w:p>
        </w:tc>
        <w:tc>
          <w:tcPr>
            <w:tcW w:w="2033" w:type="dxa"/>
            <w:vAlign w:val="center"/>
          </w:tcPr>
          <w:p>
            <w:pPr>
              <w:pStyle w:val="8"/>
              <w:spacing w:before="61" w:line="304" w:lineRule="auto"/>
              <w:ind w:left="90" w:right="46" w:firstLine="5"/>
              <w:jc w:val="both"/>
              <w:rPr>
                <w:rFonts w:hint="eastAsia" w:ascii="方正仿宋简体" w:hAnsi="方正仿宋简体" w:eastAsia="方正仿宋简体" w:cs="方正仿宋简体"/>
                <w:b/>
                <w:bCs/>
                <w:spacing w:val="-4"/>
                <w:sz w:val="19"/>
                <w:szCs w:val="19"/>
                <w:highlight w:val="none"/>
              </w:rPr>
            </w:pPr>
            <w:r>
              <w:rPr>
                <w:rFonts w:hint="eastAsia" w:ascii="方正仿宋简体" w:hAnsi="方正仿宋简体" w:eastAsia="方正仿宋简体" w:cs="方正仿宋简体"/>
                <w:b/>
                <w:bCs/>
                <w:i w:val="0"/>
                <w:color w:val="000000"/>
                <w:kern w:val="0"/>
                <w:sz w:val="19"/>
                <w:szCs w:val="19"/>
                <w:highlight w:val="none"/>
                <w:u w:val="none"/>
                <w:lang w:val="en-US" w:eastAsia="zh-CN" w:bidi="ar"/>
              </w:rPr>
              <w:t>《家电维修服务业管理办法》（商务部令2012年第7号）</w:t>
            </w:r>
          </w:p>
        </w:tc>
      </w:tr>
    </w:tbl>
    <w:p>
      <w:pPr>
        <w:spacing w:before="21"/>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z w:val="19"/>
          <w:szCs w:val="19"/>
          <w:highlight w:val="none"/>
        </w:rPr>
        <w:pict>
          <v:shape id="_x0000_s1026" o:spid="_x0000_s1026" o:spt="202" type="#_x0000_t202" style="position:absolute;left:0pt;margin-left:65.95pt;margin-top:83.3pt;height:12.55pt;width:18.5pt;mso-position-horizontal-relative:page;mso-position-vertical-relative:page;z-index:251660288;mso-width-relative:page;mso-height-relative:page;" filled="f" stroked="f" coordsize="21600,21600" o:allowincell="f">
            <v:path/>
            <v:fill on="f" focussize="0,0"/>
            <v:stroke on="f"/>
            <v:imagedata o:title=""/>
            <o:lock v:ext="edit" aspectratio="f"/>
            <v:textbox inset="0mm,0mm,0mm,0mm" style="layout-flow:vertical-ideographic;">
              <w:txbxContent>
                <w:p>
                  <w:pPr>
                    <w:spacing w:before="20" w:line="329" w:lineRule="exact"/>
                    <w:rPr>
                      <w:rFonts w:ascii="宋体" w:hAnsi="宋体" w:eastAsia="宋体" w:cs="宋体"/>
                      <w:sz w:val="21"/>
                      <w:szCs w:val="21"/>
                    </w:rPr>
                  </w:pPr>
                </w:p>
              </w:txbxContent>
            </v:textbox>
          </v:shape>
        </w:pict>
      </w:r>
      <w:r>
        <w:rPr>
          <w:rFonts w:hint="eastAsia" w:ascii="方正仿宋简体" w:hAnsi="方正仿宋简体" w:eastAsia="方正仿宋简体" w:cs="方正仿宋简体"/>
          <w:b/>
          <w:bCs/>
          <w:sz w:val="19"/>
          <w:szCs w:val="19"/>
          <w:highlight w:val="none"/>
        </w:rPr>
        <w:pict>
          <v:shape id="_x0000_s1027" o:spid="_x0000_s1027" o:spt="202" type="#_x0000_t202" style="position:absolute;left:0pt;margin-left:73.05pt;margin-top:135.7pt;height:12.5pt;width:11.35pt;mso-position-horizontal-relative:page;mso-position-vertical-relative:page;z-index:251659264;mso-width-relative:page;mso-height-relative:page;" filled="f" stroked="f" coordsize="21600,21600" o:allowincell="f">
            <v:path/>
            <v:fill on="f" focussize="0,0"/>
            <v:stroke on="f"/>
            <v:imagedata o:title=""/>
            <o:lock v:ext="edit" aspectratio="f"/>
            <v:textbox inset="0mm,0mm,0mm,0mm" style="layout-flow:vertical-ideographic;">
              <w:txbxContent>
                <w:p>
                  <w:pPr>
                    <w:spacing w:before="19" w:line="160" w:lineRule="auto"/>
                    <w:ind w:left="20"/>
                    <w:rPr>
                      <w:rFonts w:ascii="宋体" w:hAnsi="宋体" w:eastAsia="宋体" w:cs="宋体"/>
                      <w:sz w:val="21"/>
                      <w:szCs w:val="21"/>
                    </w:rPr>
                  </w:pPr>
                </w:p>
              </w:txbxContent>
            </v:textbox>
          </v:shape>
        </w:pict>
      </w:r>
      <w:r>
        <w:rPr>
          <w:rFonts w:hint="eastAsia" w:ascii="方正仿宋简体" w:hAnsi="方正仿宋简体" w:eastAsia="方正仿宋简体" w:cs="方正仿宋简体"/>
          <w:b/>
          <w:bCs/>
          <w:sz w:val="19"/>
          <w:szCs w:val="19"/>
          <w:highlight w:val="none"/>
        </w:rPr>
        <w:pict>
          <v:shape id="_x0000_s1028" o:spid="_x0000_s1028" o:spt="202" type="#_x0000_t202" style="position:absolute;left:0pt;margin-left:72.15pt;margin-top:109.5pt;height:11.1pt;width:9.85pt;mso-position-horizontal-relative:page;mso-position-vertical-relative:page;z-index:251661312;mso-width-relative:page;mso-height-relative:page;" filled="f" stroked="f" coordsize="21600,21600" o:allowincell="f">
            <v:path/>
            <v:fill on="f" focussize="0,0"/>
            <v:stroke on="f"/>
            <v:imagedata o:title=""/>
            <o:lock v:ext="edit" aspectratio="f"/>
            <v:textbox inset="0mm,0mm,0mm,0mm" style="layout-flow:vertical-ideographic;">
              <w:txbxContent>
                <w:p>
                  <w:pPr>
                    <w:spacing w:before="20" w:line="156" w:lineRule="exact"/>
                    <w:ind w:left="20"/>
                    <w:rPr>
                      <w:rFonts w:ascii="宋体" w:hAnsi="宋体" w:eastAsia="宋体" w:cs="宋体"/>
                      <w:sz w:val="21"/>
                      <w:szCs w:val="21"/>
                    </w:rPr>
                  </w:pPr>
                </w:p>
              </w:txbxContent>
            </v:textbox>
          </v:shape>
        </w:pict>
      </w:r>
    </w:p>
    <w:tbl>
      <w:tblPr>
        <w:tblStyle w:val="7"/>
        <w:tblpPr w:leftFromText="180" w:rightFromText="180" w:vertAnchor="text" w:horzAnchor="page" w:tblpX="1834" w:tblpY="-23"/>
        <w:tblOverlap w:val="never"/>
        <w:tblW w:w="4828"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744"/>
        <w:gridCol w:w="1714"/>
        <w:gridCol w:w="8157"/>
        <w:gridCol w:w="20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55" w:hRule="atLeast"/>
        </w:trPr>
        <w:tc>
          <w:tcPr>
            <w:tcW w:w="294" w:type="pct"/>
            <w:vAlign w:val="top"/>
          </w:tcPr>
          <w:p>
            <w:pPr>
              <w:jc w:val="both"/>
              <w:rPr>
                <w:rFonts w:hint="eastAsia" w:ascii="方正仿宋简体" w:hAnsi="方正仿宋简体" w:eastAsia="方正仿宋简体" w:cs="方正仿宋简体"/>
                <w:b/>
                <w:bCs/>
                <w:sz w:val="19"/>
                <w:szCs w:val="19"/>
                <w:highlight w:val="none"/>
              </w:rPr>
            </w:pPr>
          </w:p>
          <w:p>
            <w:pPr>
              <w:jc w:val="both"/>
              <w:rPr>
                <w:rFonts w:hint="eastAsia" w:ascii="方正仿宋简体" w:hAnsi="方正仿宋简体" w:eastAsia="方正仿宋简体" w:cs="方正仿宋简体"/>
                <w:b/>
                <w:bCs/>
                <w:sz w:val="19"/>
                <w:szCs w:val="19"/>
                <w:highlight w:val="none"/>
              </w:rPr>
            </w:pPr>
          </w:p>
          <w:p>
            <w:pPr>
              <w:jc w:val="both"/>
              <w:rPr>
                <w:rFonts w:hint="eastAsia" w:ascii="方正仿宋简体" w:hAnsi="方正仿宋简体" w:eastAsia="方正仿宋简体" w:cs="方正仿宋简体"/>
                <w:b/>
                <w:bCs/>
                <w:sz w:val="19"/>
                <w:szCs w:val="19"/>
                <w:highlight w:val="none"/>
              </w:rPr>
            </w:pPr>
          </w:p>
          <w:p>
            <w:pPr>
              <w:jc w:val="both"/>
              <w:rPr>
                <w:rFonts w:hint="eastAsia" w:ascii="方正仿宋简体" w:hAnsi="方正仿宋简体" w:eastAsia="方正仿宋简体" w:cs="方正仿宋简体"/>
                <w:b/>
                <w:bCs/>
                <w:sz w:val="19"/>
                <w:szCs w:val="19"/>
                <w:highlight w:val="none"/>
              </w:rPr>
            </w:pPr>
          </w:p>
          <w:p>
            <w:pPr>
              <w:jc w:val="both"/>
              <w:rPr>
                <w:rFonts w:hint="eastAsia" w:ascii="方正仿宋简体" w:hAnsi="方正仿宋简体" w:eastAsia="方正仿宋简体" w:cs="方正仿宋简体"/>
                <w:b/>
                <w:bCs/>
                <w:sz w:val="19"/>
                <w:szCs w:val="19"/>
                <w:highlight w:val="none"/>
              </w:rPr>
            </w:pPr>
          </w:p>
          <w:p>
            <w:pPr>
              <w:jc w:val="both"/>
              <w:rPr>
                <w:rFonts w:hint="eastAsia" w:ascii="方正仿宋简体" w:hAnsi="方正仿宋简体" w:eastAsia="方正仿宋简体" w:cs="方正仿宋简体"/>
                <w:b/>
                <w:bCs/>
                <w:sz w:val="19"/>
                <w:szCs w:val="19"/>
                <w:highlight w:val="none"/>
              </w:rPr>
            </w:pPr>
          </w:p>
          <w:p>
            <w:pPr>
              <w:jc w:val="both"/>
              <w:rPr>
                <w:rFonts w:hint="eastAsia" w:ascii="方正仿宋简体" w:hAnsi="方正仿宋简体" w:eastAsia="方正仿宋简体" w:cs="方正仿宋简体"/>
                <w:b/>
                <w:bCs/>
                <w:sz w:val="19"/>
                <w:szCs w:val="19"/>
                <w:highlight w:val="none"/>
              </w:rPr>
            </w:pPr>
          </w:p>
          <w:p>
            <w:pPr>
              <w:spacing w:line="241" w:lineRule="auto"/>
              <w:jc w:val="both"/>
              <w:rPr>
                <w:rFonts w:hint="eastAsia" w:ascii="方正仿宋简体" w:hAnsi="方正仿宋简体" w:eastAsia="方正仿宋简体" w:cs="方正仿宋简体"/>
                <w:b/>
                <w:bCs/>
                <w:sz w:val="19"/>
                <w:szCs w:val="19"/>
                <w:highlight w:val="none"/>
              </w:rPr>
            </w:pPr>
          </w:p>
          <w:p>
            <w:pPr>
              <w:spacing w:line="241" w:lineRule="auto"/>
              <w:jc w:val="both"/>
              <w:rPr>
                <w:rFonts w:hint="eastAsia" w:ascii="方正仿宋简体" w:hAnsi="方正仿宋简体" w:eastAsia="方正仿宋简体" w:cs="方正仿宋简体"/>
                <w:b/>
                <w:bCs/>
                <w:sz w:val="19"/>
                <w:szCs w:val="19"/>
                <w:highlight w:val="none"/>
              </w:rPr>
            </w:pPr>
          </w:p>
          <w:p>
            <w:pPr>
              <w:spacing w:line="241" w:lineRule="auto"/>
              <w:jc w:val="both"/>
              <w:rPr>
                <w:rFonts w:hint="eastAsia" w:ascii="方正仿宋简体" w:hAnsi="方正仿宋简体" w:eastAsia="方正仿宋简体" w:cs="方正仿宋简体"/>
                <w:b/>
                <w:bCs/>
                <w:sz w:val="19"/>
                <w:szCs w:val="19"/>
                <w:highlight w:val="none"/>
              </w:rPr>
            </w:pPr>
          </w:p>
          <w:p>
            <w:pPr>
              <w:spacing w:line="241" w:lineRule="auto"/>
              <w:jc w:val="both"/>
              <w:rPr>
                <w:rFonts w:hint="eastAsia" w:ascii="方正仿宋简体" w:hAnsi="方正仿宋简体" w:eastAsia="方正仿宋简体" w:cs="方正仿宋简体"/>
                <w:b/>
                <w:bCs/>
                <w:sz w:val="19"/>
                <w:szCs w:val="19"/>
                <w:highlight w:val="none"/>
              </w:rPr>
            </w:pPr>
          </w:p>
          <w:p>
            <w:pPr>
              <w:spacing w:line="241" w:lineRule="auto"/>
              <w:jc w:val="both"/>
              <w:rPr>
                <w:rFonts w:hint="eastAsia" w:ascii="方正仿宋简体" w:hAnsi="方正仿宋简体" w:eastAsia="方正仿宋简体" w:cs="方正仿宋简体"/>
                <w:b/>
                <w:bCs/>
                <w:sz w:val="19"/>
                <w:szCs w:val="19"/>
                <w:highlight w:val="none"/>
              </w:rPr>
            </w:pPr>
          </w:p>
          <w:p>
            <w:pPr>
              <w:spacing w:line="241" w:lineRule="auto"/>
              <w:jc w:val="both"/>
              <w:rPr>
                <w:rFonts w:hint="eastAsia" w:ascii="方正仿宋简体" w:hAnsi="方正仿宋简体" w:eastAsia="方正仿宋简体" w:cs="方正仿宋简体"/>
                <w:b/>
                <w:bCs/>
                <w:sz w:val="19"/>
                <w:szCs w:val="19"/>
                <w:highlight w:val="none"/>
              </w:rPr>
            </w:pPr>
          </w:p>
          <w:p>
            <w:pPr>
              <w:pStyle w:val="8"/>
              <w:spacing w:before="59"/>
              <w:ind w:left="287"/>
              <w:jc w:val="both"/>
              <w:rPr>
                <w:rFonts w:hint="eastAsia" w:ascii="方正仿宋简体" w:hAnsi="方正仿宋简体" w:eastAsia="方正仿宋简体" w:cs="方正仿宋简体"/>
                <w:b/>
                <w:bCs/>
                <w:sz w:val="19"/>
                <w:szCs w:val="19"/>
                <w:highlight w:val="none"/>
                <w:lang w:val="en-US" w:eastAsia="zh-CN"/>
              </w:rPr>
            </w:pPr>
            <w:r>
              <w:rPr>
                <w:rFonts w:hint="eastAsia" w:ascii="方正仿宋简体" w:hAnsi="方正仿宋简体" w:eastAsia="方正仿宋简体" w:cs="方正仿宋简体"/>
                <w:b/>
                <w:bCs/>
                <w:spacing w:val="-7"/>
                <w:sz w:val="19"/>
                <w:szCs w:val="19"/>
                <w:highlight w:val="none"/>
                <w:lang w:val="en-US" w:eastAsia="zh-CN"/>
              </w:rPr>
              <w:t>15</w:t>
            </w:r>
          </w:p>
        </w:tc>
        <w:tc>
          <w:tcPr>
            <w:tcW w:w="677" w:type="pct"/>
            <w:vAlign w:val="top"/>
          </w:tcPr>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7" w:lineRule="auto"/>
              <w:jc w:val="both"/>
              <w:rPr>
                <w:rFonts w:hint="eastAsia" w:ascii="方正仿宋简体" w:hAnsi="方正仿宋简体" w:eastAsia="方正仿宋简体" w:cs="方正仿宋简体"/>
                <w:b/>
                <w:bCs/>
                <w:sz w:val="19"/>
                <w:szCs w:val="19"/>
                <w:highlight w:val="none"/>
              </w:rPr>
            </w:pPr>
          </w:p>
          <w:p>
            <w:pPr>
              <w:spacing w:line="248" w:lineRule="auto"/>
              <w:jc w:val="both"/>
              <w:rPr>
                <w:rFonts w:hint="eastAsia" w:ascii="方正仿宋简体" w:hAnsi="方正仿宋简体" w:eastAsia="方正仿宋简体" w:cs="方正仿宋简体"/>
                <w:b/>
                <w:bCs/>
                <w:sz w:val="19"/>
                <w:szCs w:val="19"/>
                <w:highlight w:val="none"/>
              </w:rPr>
            </w:pPr>
          </w:p>
          <w:p>
            <w:pPr>
              <w:spacing w:line="248" w:lineRule="auto"/>
              <w:jc w:val="both"/>
              <w:rPr>
                <w:rFonts w:hint="eastAsia" w:ascii="方正仿宋简体" w:hAnsi="方正仿宋简体" w:eastAsia="方正仿宋简体" w:cs="方正仿宋简体"/>
                <w:b/>
                <w:bCs/>
                <w:sz w:val="19"/>
                <w:szCs w:val="19"/>
                <w:highlight w:val="none"/>
              </w:rPr>
            </w:pPr>
          </w:p>
          <w:p>
            <w:pPr>
              <w:spacing w:line="248" w:lineRule="auto"/>
              <w:jc w:val="both"/>
              <w:rPr>
                <w:rFonts w:hint="eastAsia" w:ascii="方正仿宋简体" w:hAnsi="方正仿宋简体" w:eastAsia="方正仿宋简体" w:cs="方正仿宋简体"/>
                <w:b/>
                <w:bCs/>
                <w:sz w:val="19"/>
                <w:szCs w:val="19"/>
                <w:highlight w:val="none"/>
              </w:rPr>
            </w:pPr>
          </w:p>
          <w:p>
            <w:pPr>
              <w:spacing w:line="248" w:lineRule="auto"/>
              <w:jc w:val="both"/>
              <w:rPr>
                <w:rFonts w:hint="eastAsia" w:ascii="方正仿宋简体" w:hAnsi="方正仿宋简体" w:eastAsia="方正仿宋简体" w:cs="方正仿宋简体"/>
                <w:b/>
                <w:bCs/>
                <w:sz w:val="19"/>
                <w:szCs w:val="19"/>
                <w:highlight w:val="none"/>
              </w:rPr>
            </w:pPr>
          </w:p>
          <w:p>
            <w:pPr>
              <w:pStyle w:val="8"/>
              <w:spacing w:before="59" w:line="320" w:lineRule="auto"/>
              <w:ind w:left="133" w:right="141"/>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3"/>
                <w:sz w:val="19"/>
                <w:szCs w:val="19"/>
                <w:highlight w:val="none"/>
              </w:rPr>
              <w:t>对对外劳务合作领域规定事项的检查</w:t>
            </w:r>
          </w:p>
        </w:tc>
        <w:tc>
          <w:tcPr>
            <w:tcW w:w="3222" w:type="pct"/>
            <w:vAlign w:val="top"/>
          </w:tcPr>
          <w:p>
            <w:pPr>
              <w:spacing w:line="294" w:lineRule="auto"/>
              <w:jc w:val="both"/>
              <w:rPr>
                <w:rFonts w:hint="eastAsia" w:ascii="方正仿宋简体" w:hAnsi="方正仿宋简体" w:eastAsia="方正仿宋简体" w:cs="方正仿宋简体"/>
                <w:b/>
                <w:bCs/>
                <w:sz w:val="19"/>
                <w:szCs w:val="19"/>
                <w:highlight w:val="none"/>
              </w:rPr>
            </w:pPr>
          </w:p>
          <w:p>
            <w:pPr>
              <w:spacing w:line="294" w:lineRule="auto"/>
              <w:jc w:val="both"/>
              <w:rPr>
                <w:rFonts w:hint="eastAsia" w:ascii="方正仿宋简体" w:hAnsi="方正仿宋简体" w:eastAsia="方正仿宋简体" w:cs="方正仿宋简体"/>
                <w:b/>
                <w:bCs/>
                <w:sz w:val="19"/>
                <w:szCs w:val="19"/>
                <w:highlight w:val="none"/>
              </w:rPr>
            </w:pPr>
          </w:p>
          <w:p>
            <w:pPr>
              <w:spacing w:line="294" w:lineRule="auto"/>
              <w:jc w:val="both"/>
              <w:rPr>
                <w:rFonts w:hint="eastAsia" w:ascii="方正仿宋简体" w:hAnsi="方正仿宋简体" w:eastAsia="方正仿宋简体" w:cs="方正仿宋简体"/>
                <w:b/>
                <w:bCs/>
                <w:sz w:val="19"/>
                <w:szCs w:val="19"/>
                <w:highlight w:val="none"/>
              </w:rPr>
            </w:pPr>
          </w:p>
          <w:p>
            <w:pPr>
              <w:pStyle w:val="8"/>
              <w:spacing w:before="58" w:line="258" w:lineRule="auto"/>
              <w:ind w:left="103" w:right="3" w:hanging="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2"/>
                <w:sz w:val="19"/>
                <w:szCs w:val="19"/>
                <w:highlight w:val="none"/>
              </w:rPr>
              <w:t>1.对外劳务合作企业是否存在违规派遣组织劳务人员赴国外工作等行为。(《对外劳务合作管理条例》</w:t>
            </w:r>
            <w:r>
              <w:rPr>
                <w:rFonts w:hint="eastAsia" w:ascii="方正仿宋简体" w:hAnsi="方正仿宋简体" w:eastAsia="方正仿宋简体" w:cs="方正仿宋简体"/>
                <w:b/>
                <w:bCs/>
                <w:spacing w:val="-1"/>
                <w:sz w:val="19"/>
                <w:szCs w:val="19"/>
                <w:highlight w:val="none"/>
              </w:rPr>
              <w:t>第八条、第十一条、第二十一条，《办理劳务人员出国手续的办法》第十一条、第十</w:t>
            </w:r>
            <w:r>
              <w:rPr>
                <w:rFonts w:hint="eastAsia" w:ascii="方正仿宋简体" w:hAnsi="方正仿宋简体" w:eastAsia="方正仿宋简体" w:cs="方正仿宋简体"/>
                <w:b/>
                <w:bCs/>
                <w:spacing w:val="-2"/>
                <w:sz w:val="19"/>
                <w:szCs w:val="19"/>
                <w:highlight w:val="none"/>
              </w:rPr>
              <w:t>七条)</w:t>
            </w:r>
          </w:p>
          <w:p>
            <w:pPr>
              <w:pStyle w:val="8"/>
              <w:spacing w:before="54" w:line="265" w:lineRule="auto"/>
              <w:ind w:left="104" w:firstLine="2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4"/>
                <w:sz w:val="19"/>
                <w:szCs w:val="19"/>
                <w:highlight w:val="none"/>
              </w:rPr>
              <w:t>2.对外劳务合作企业是否按规定在负责审批的商务主管部门指定的银行账户缴存不低于300万元人民</w:t>
            </w:r>
            <w:r>
              <w:rPr>
                <w:rFonts w:hint="eastAsia" w:ascii="方正仿宋简体" w:hAnsi="方正仿宋简体" w:eastAsia="方正仿宋简体" w:cs="方正仿宋简体"/>
                <w:b/>
                <w:bCs/>
                <w:spacing w:val="-6"/>
                <w:sz w:val="19"/>
                <w:szCs w:val="19"/>
                <w:highlight w:val="none"/>
              </w:rPr>
              <w:t>币的对外劳务合作风险处置备用金，是否制定突发事件应急预案。(《对外劳务合作管理条例》</w:t>
            </w:r>
            <w:r>
              <w:rPr>
                <w:rFonts w:hint="eastAsia" w:ascii="方正仿宋简体" w:hAnsi="方正仿宋简体" w:eastAsia="方正仿宋简体" w:cs="方正仿宋简体"/>
                <w:b/>
                <w:bCs/>
                <w:spacing w:val="-7"/>
                <w:sz w:val="19"/>
                <w:szCs w:val="19"/>
                <w:highlight w:val="none"/>
              </w:rPr>
              <w:t>第九条、</w:t>
            </w:r>
            <w:r>
              <w:rPr>
                <w:rFonts w:hint="eastAsia" w:ascii="方正仿宋简体" w:hAnsi="方正仿宋简体" w:eastAsia="方正仿宋简体" w:cs="方正仿宋简体"/>
                <w:b/>
                <w:bCs/>
                <w:spacing w:val="-2"/>
                <w:sz w:val="19"/>
                <w:szCs w:val="19"/>
                <w:highlight w:val="none"/>
              </w:rPr>
              <w:t>第十七条、第十八条、第十九条)</w:t>
            </w:r>
          </w:p>
          <w:p>
            <w:pPr>
              <w:pStyle w:val="8"/>
              <w:spacing w:before="64" w:line="265" w:lineRule="auto"/>
              <w:ind w:left="44" w:right="59" w:firstLine="5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2"/>
                <w:sz w:val="19"/>
                <w:szCs w:val="19"/>
                <w:highlight w:val="none"/>
              </w:rPr>
              <w:t>3.对外劳务合作企业是否安排劳务人员接受培训、购买在国外工作期间的人身意外伤</w:t>
            </w:r>
            <w:r>
              <w:rPr>
                <w:rFonts w:hint="eastAsia" w:ascii="方正仿宋简体" w:hAnsi="方正仿宋简体" w:eastAsia="方正仿宋简体" w:cs="方正仿宋简体"/>
                <w:b/>
                <w:bCs/>
                <w:spacing w:val="-3"/>
                <w:sz w:val="19"/>
                <w:szCs w:val="19"/>
                <w:highlight w:val="none"/>
              </w:rPr>
              <w:t>害保险，并协助</w:t>
            </w:r>
            <w:r>
              <w:rPr>
                <w:rFonts w:hint="eastAsia" w:ascii="方正仿宋简体" w:hAnsi="方正仿宋简体" w:eastAsia="方正仿宋简体" w:cs="方正仿宋简体"/>
                <w:b/>
                <w:bCs/>
                <w:spacing w:val="-2"/>
                <w:sz w:val="19"/>
                <w:szCs w:val="19"/>
                <w:highlight w:val="none"/>
              </w:rPr>
              <w:t>办理劳务人员在国外的居留、工作许可等手续。(《对外劳务合作管理条例》第十二条</w:t>
            </w:r>
            <w:r>
              <w:rPr>
                <w:rFonts w:hint="eastAsia" w:ascii="方正仿宋简体" w:hAnsi="方正仿宋简体" w:eastAsia="方正仿宋简体" w:cs="方正仿宋简体"/>
                <w:b/>
                <w:bCs/>
                <w:spacing w:val="-3"/>
                <w:sz w:val="19"/>
                <w:szCs w:val="19"/>
                <w:highlight w:val="none"/>
              </w:rPr>
              <w:t>、第十三条、第</w:t>
            </w:r>
            <w:r>
              <w:rPr>
                <w:rFonts w:hint="eastAsia" w:ascii="方正仿宋简体" w:hAnsi="方正仿宋简体" w:eastAsia="方正仿宋简体" w:cs="方正仿宋简体"/>
                <w:b/>
                <w:bCs/>
                <w:spacing w:val="8"/>
                <w:sz w:val="19"/>
                <w:szCs w:val="19"/>
                <w:highlight w:val="none"/>
              </w:rPr>
              <w:t>十四条、第十六条)</w:t>
            </w:r>
          </w:p>
          <w:p>
            <w:pPr>
              <w:pStyle w:val="8"/>
              <w:spacing w:before="64" w:line="270" w:lineRule="auto"/>
              <w:ind w:left="44" w:right="56" w:firstLine="5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2"/>
                <w:sz w:val="19"/>
                <w:szCs w:val="19"/>
                <w:highlight w:val="none"/>
              </w:rPr>
              <w:t>4.对外劳务合作企业、劳务人员是否遵守用工项目所在国家或者地区的法律，是否从事损害国</w:t>
            </w:r>
            <w:r>
              <w:rPr>
                <w:rFonts w:hint="eastAsia" w:ascii="方正仿宋简体" w:hAnsi="方正仿宋简体" w:eastAsia="方正仿宋简体" w:cs="方正仿宋简体"/>
                <w:b/>
                <w:bCs/>
                <w:spacing w:val="-3"/>
                <w:sz w:val="19"/>
                <w:szCs w:val="19"/>
                <w:highlight w:val="none"/>
              </w:rPr>
              <w:t>家安全</w:t>
            </w:r>
            <w:r>
              <w:rPr>
                <w:rFonts w:hint="eastAsia" w:ascii="方正仿宋简体" w:hAnsi="方正仿宋简体" w:eastAsia="方正仿宋简体" w:cs="方正仿宋简体"/>
                <w:b/>
                <w:bCs/>
                <w:spacing w:val="-1"/>
                <w:sz w:val="19"/>
                <w:szCs w:val="19"/>
                <w:highlight w:val="none"/>
              </w:rPr>
              <w:t>和国家利益的活动。对外劳务合作企业是否与国外雇主订立劳务合作合同等，是否与劳务人员签订服</w:t>
            </w:r>
            <w:r>
              <w:rPr>
                <w:rFonts w:hint="eastAsia" w:ascii="方正仿宋简体" w:hAnsi="方正仿宋简体" w:eastAsia="方正仿宋简体" w:cs="方正仿宋简体"/>
                <w:b/>
                <w:bCs/>
                <w:spacing w:val="-2"/>
                <w:sz w:val="19"/>
                <w:szCs w:val="19"/>
                <w:highlight w:val="none"/>
              </w:rPr>
              <w:t>务合同或劳动合同，是否协助劳务人员与国外雇主订立确定劳动关系的合同。(《对外劳务</w:t>
            </w:r>
            <w:r>
              <w:rPr>
                <w:rFonts w:hint="eastAsia" w:ascii="方正仿宋简体" w:hAnsi="方正仿宋简体" w:eastAsia="方正仿宋简体" w:cs="方正仿宋简体"/>
                <w:b/>
                <w:bCs/>
                <w:spacing w:val="-3"/>
                <w:sz w:val="19"/>
                <w:szCs w:val="19"/>
                <w:highlight w:val="none"/>
              </w:rPr>
              <w:t>合作管理条</w:t>
            </w:r>
            <w:r>
              <w:rPr>
                <w:rFonts w:hint="eastAsia" w:ascii="方正仿宋简体" w:hAnsi="方正仿宋简体" w:eastAsia="方正仿宋简体" w:cs="方正仿宋简体"/>
                <w:b/>
                <w:bCs/>
                <w:spacing w:val="-1"/>
                <w:sz w:val="19"/>
                <w:szCs w:val="19"/>
                <w:highlight w:val="none"/>
              </w:rPr>
              <w:t>例》第十五条、第二十一条、第二十二条、第二十三条、第二十四条、第二十六条、第二十七条、第</w:t>
            </w:r>
            <w:r>
              <w:rPr>
                <w:rFonts w:hint="eastAsia" w:ascii="方正仿宋简体" w:hAnsi="方正仿宋简体" w:eastAsia="方正仿宋简体" w:cs="方正仿宋简体"/>
                <w:b/>
                <w:bCs/>
                <w:spacing w:val="6"/>
                <w:sz w:val="19"/>
                <w:szCs w:val="19"/>
                <w:highlight w:val="none"/>
              </w:rPr>
              <w:t>二十八条、第二十九条)</w:t>
            </w:r>
          </w:p>
          <w:p>
            <w:pPr>
              <w:pStyle w:val="8"/>
              <w:spacing w:before="74" w:line="249" w:lineRule="auto"/>
              <w:ind w:left="113" w:right="73" w:hanging="1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2"/>
                <w:sz w:val="19"/>
                <w:szCs w:val="19"/>
                <w:highlight w:val="none"/>
              </w:rPr>
              <w:t>5.对外劳务合作企业向劳务人员收取服务费，是否符合国务院价格主管部门会同国务院商务主管部门</w:t>
            </w:r>
            <w:r>
              <w:rPr>
                <w:rFonts w:hint="eastAsia" w:ascii="方正仿宋简体" w:hAnsi="方正仿宋简体" w:eastAsia="方正仿宋简体" w:cs="方正仿宋简体"/>
                <w:b/>
                <w:bCs/>
                <w:spacing w:val="-1"/>
                <w:sz w:val="19"/>
                <w:szCs w:val="19"/>
                <w:highlight w:val="none"/>
              </w:rPr>
              <w:t>制定的有关规定等。(《对外劳务合作管理条例》第二十五条)</w:t>
            </w:r>
          </w:p>
          <w:p>
            <w:pPr>
              <w:pStyle w:val="8"/>
              <w:spacing w:before="77" w:line="248" w:lineRule="auto"/>
              <w:ind w:left="113" w:right="96" w:hanging="19"/>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2"/>
                <w:sz w:val="19"/>
                <w:szCs w:val="19"/>
                <w:highlight w:val="none"/>
              </w:rPr>
              <w:t>6.对外劳务合作企业组织劳务人员赴特定国家或者地区工作的，是否经国务院商务主管部</w:t>
            </w:r>
            <w:r>
              <w:rPr>
                <w:rFonts w:hint="eastAsia" w:ascii="方正仿宋简体" w:hAnsi="方正仿宋简体" w:eastAsia="方正仿宋简体" w:cs="方正仿宋简体"/>
                <w:b/>
                <w:bCs/>
                <w:spacing w:val="-3"/>
                <w:sz w:val="19"/>
                <w:szCs w:val="19"/>
                <w:highlight w:val="none"/>
              </w:rPr>
              <w:t>门会同国务</w:t>
            </w:r>
            <w:r>
              <w:rPr>
                <w:rFonts w:hint="eastAsia" w:ascii="方正仿宋简体" w:hAnsi="方正仿宋简体" w:eastAsia="方正仿宋简体" w:cs="方正仿宋简体"/>
                <w:b/>
                <w:bCs/>
                <w:spacing w:val="-1"/>
                <w:sz w:val="19"/>
                <w:szCs w:val="19"/>
                <w:highlight w:val="none"/>
              </w:rPr>
              <w:t>院有关部门批准。(《对外劳务合作管理条例》第三十一条、第五十一条)</w:t>
            </w:r>
          </w:p>
        </w:tc>
        <w:tc>
          <w:tcPr>
            <w:tcW w:w="805" w:type="pct"/>
            <w:vAlign w:val="top"/>
          </w:tcPr>
          <w:p>
            <w:pPr>
              <w:spacing w:line="259" w:lineRule="auto"/>
              <w:jc w:val="both"/>
              <w:rPr>
                <w:rFonts w:hint="eastAsia" w:ascii="方正仿宋简体" w:hAnsi="方正仿宋简体" w:eastAsia="方正仿宋简体" w:cs="方正仿宋简体"/>
                <w:b/>
                <w:bCs/>
                <w:sz w:val="19"/>
                <w:szCs w:val="19"/>
                <w:highlight w:val="none"/>
              </w:rPr>
            </w:pPr>
          </w:p>
          <w:p>
            <w:pPr>
              <w:spacing w:line="259" w:lineRule="auto"/>
              <w:jc w:val="both"/>
              <w:rPr>
                <w:rFonts w:hint="eastAsia" w:ascii="方正仿宋简体" w:hAnsi="方正仿宋简体" w:eastAsia="方正仿宋简体" w:cs="方正仿宋简体"/>
                <w:b/>
                <w:bCs/>
                <w:sz w:val="19"/>
                <w:szCs w:val="19"/>
                <w:highlight w:val="none"/>
              </w:rPr>
            </w:pPr>
          </w:p>
          <w:p>
            <w:pPr>
              <w:spacing w:line="259" w:lineRule="auto"/>
              <w:jc w:val="both"/>
              <w:rPr>
                <w:rFonts w:hint="eastAsia" w:ascii="方正仿宋简体" w:hAnsi="方正仿宋简体" w:eastAsia="方正仿宋简体" w:cs="方正仿宋简体"/>
                <w:b/>
                <w:bCs/>
                <w:sz w:val="19"/>
                <w:szCs w:val="19"/>
                <w:highlight w:val="none"/>
              </w:rPr>
            </w:pPr>
          </w:p>
          <w:p>
            <w:pPr>
              <w:spacing w:line="259" w:lineRule="auto"/>
              <w:jc w:val="both"/>
              <w:rPr>
                <w:rFonts w:hint="eastAsia" w:ascii="方正仿宋简体" w:hAnsi="方正仿宋简体" w:eastAsia="方正仿宋简体" w:cs="方正仿宋简体"/>
                <w:b/>
                <w:bCs/>
                <w:sz w:val="19"/>
                <w:szCs w:val="19"/>
                <w:highlight w:val="none"/>
              </w:rPr>
            </w:pPr>
          </w:p>
          <w:p>
            <w:pPr>
              <w:spacing w:line="259" w:lineRule="auto"/>
              <w:jc w:val="both"/>
              <w:rPr>
                <w:rFonts w:hint="eastAsia" w:ascii="方正仿宋简体" w:hAnsi="方正仿宋简体" w:eastAsia="方正仿宋简体" w:cs="方正仿宋简体"/>
                <w:b/>
                <w:bCs/>
                <w:sz w:val="19"/>
                <w:szCs w:val="19"/>
                <w:highlight w:val="none"/>
              </w:rPr>
            </w:pPr>
          </w:p>
          <w:p>
            <w:pPr>
              <w:spacing w:line="259" w:lineRule="auto"/>
              <w:jc w:val="both"/>
              <w:rPr>
                <w:rFonts w:hint="eastAsia" w:ascii="方正仿宋简体" w:hAnsi="方正仿宋简体" w:eastAsia="方正仿宋简体" w:cs="方正仿宋简体"/>
                <w:b/>
                <w:bCs/>
                <w:sz w:val="19"/>
                <w:szCs w:val="19"/>
                <w:highlight w:val="none"/>
              </w:rPr>
            </w:pPr>
          </w:p>
          <w:p>
            <w:pPr>
              <w:spacing w:line="259" w:lineRule="auto"/>
              <w:jc w:val="both"/>
              <w:rPr>
                <w:rFonts w:hint="eastAsia" w:ascii="方正仿宋简体" w:hAnsi="方正仿宋简体" w:eastAsia="方正仿宋简体" w:cs="方正仿宋简体"/>
                <w:b/>
                <w:bCs/>
                <w:sz w:val="19"/>
                <w:szCs w:val="19"/>
                <w:highlight w:val="none"/>
              </w:rPr>
            </w:pPr>
          </w:p>
          <w:p>
            <w:pPr>
              <w:spacing w:line="259" w:lineRule="auto"/>
              <w:jc w:val="both"/>
              <w:rPr>
                <w:rFonts w:hint="eastAsia" w:ascii="方正仿宋简体" w:hAnsi="方正仿宋简体" w:eastAsia="方正仿宋简体" w:cs="方正仿宋简体"/>
                <w:b/>
                <w:bCs/>
                <w:sz w:val="19"/>
                <w:szCs w:val="19"/>
                <w:highlight w:val="none"/>
              </w:rPr>
            </w:pPr>
          </w:p>
          <w:p>
            <w:pPr>
              <w:spacing w:line="259" w:lineRule="auto"/>
              <w:jc w:val="both"/>
              <w:rPr>
                <w:rFonts w:hint="eastAsia" w:ascii="方正仿宋简体" w:hAnsi="方正仿宋简体" w:eastAsia="方正仿宋简体" w:cs="方正仿宋简体"/>
                <w:b/>
                <w:bCs/>
                <w:sz w:val="19"/>
                <w:szCs w:val="19"/>
                <w:highlight w:val="none"/>
              </w:rPr>
            </w:pPr>
          </w:p>
          <w:p>
            <w:pPr>
              <w:spacing w:line="259" w:lineRule="auto"/>
              <w:jc w:val="both"/>
              <w:rPr>
                <w:rFonts w:hint="eastAsia" w:ascii="方正仿宋简体" w:hAnsi="方正仿宋简体" w:eastAsia="方正仿宋简体" w:cs="方正仿宋简体"/>
                <w:b/>
                <w:bCs/>
                <w:sz w:val="19"/>
                <w:szCs w:val="19"/>
                <w:highlight w:val="none"/>
              </w:rPr>
            </w:pPr>
          </w:p>
          <w:p>
            <w:pPr>
              <w:spacing w:line="260" w:lineRule="auto"/>
              <w:jc w:val="both"/>
              <w:rPr>
                <w:rFonts w:hint="eastAsia" w:ascii="方正仿宋简体" w:hAnsi="方正仿宋简体" w:eastAsia="方正仿宋简体" w:cs="方正仿宋简体"/>
                <w:b/>
                <w:bCs/>
                <w:sz w:val="19"/>
                <w:szCs w:val="19"/>
                <w:highlight w:val="none"/>
              </w:rPr>
            </w:pPr>
          </w:p>
          <w:p>
            <w:pPr>
              <w:pStyle w:val="8"/>
              <w:spacing w:before="58" w:line="278" w:lineRule="auto"/>
              <w:ind w:left="91" w:right="84" w:hanging="30"/>
              <w:jc w:val="both"/>
              <w:rPr>
                <w:rFonts w:hint="eastAsia" w:ascii="方正仿宋简体" w:hAnsi="方正仿宋简体" w:eastAsia="方正仿宋简体" w:cs="方正仿宋简体"/>
                <w:b/>
                <w:bCs/>
                <w:sz w:val="19"/>
                <w:szCs w:val="19"/>
                <w:highlight w:val="none"/>
              </w:rPr>
            </w:pPr>
            <w:r>
              <w:rPr>
                <w:rFonts w:hint="eastAsia" w:ascii="方正仿宋简体" w:hAnsi="方正仿宋简体" w:eastAsia="方正仿宋简体" w:cs="方正仿宋简体"/>
                <w:b/>
                <w:bCs/>
                <w:spacing w:val="-4"/>
                <w:sz w:val="19"/>
                <w:szCs w:val="19"/>
                <w:highlight w:val="none"/>
              </w:rPr>
              <w:t>《对外劳务合作管理条</w:t>
            </w:r>
            <w:r>
              <w:rPr>
                <w:rFonts w:hint="eastAsia" w:ascii="方正仿宋简体" w:hAnsi="方正仿宋简体" w:eastAsia="方正仿宋简体" w:cs="方正仿宋简体"/>
                <w:b/>
                <w:bCs/>
                <w:spacing w:val="1"/>
                <w:sz w:val="19"/>
                <w:szCs w:val="19"/>
                <w:highlight w:val="none"/>
              </w:rPr>
              <w:t>例》《办理劳务人员出</w:t>
            </w:r>
            <w:r>
              <w:rPr>
                <w:rFonts w:hint="eastAsia" w:ascii="方正仿宋简体" w:hAnsi="方正仿宋简体" w:eastAsia="方正仿宋简体" w:cs="方正仿宋简体"/>
                <w:b/>
                <w:bCs/>
                <w:spacing w:val="-3"/>
                <w:sz w:val="19"/>
                <w:szCs w:val="19"/>
                <w:highlight w:val="none"/>
              </w:rPr>
              <w:t>国手续的办法》</w:t>
            </w:r>
          </w:p>
        </w:tc>
      </w:tr>
    </w:tbl>
    <w:p>
      <w:pPr>
        <w:tabs>
          <w:tab w:val="left" w:pos="7132"/>
        </w:tabs>
        <w:bidi w:val="0"/>
        <w:jc w:val="left"/>
        <w:rPr>
          <w:rFonts w:hint="eastAsia" w:ascii="Arial" w:hAnsi="Arial" w:eastAsia="宋体" w:cs="Arial"/>
          <w:snapToGrid w:val="0"/>
          <w:color w:val="000000"/>
          <w:kern w:val="0"/>
          <w:sz w:val="21"/>
          <w:szCs w:val="21"/>
          <w:lang w:val="en-US" w:eastAsia="zh-CN" w:bidi="ar-SA"/>
        </w:rPr>
        <w:sectPr>
          <w:pgSz w:w="16850" w:h="11910"/>
          <w:pgMar w:top="1012" w:right="2274" w:bottom="0" w:left="1481" w:header="0" w:footer="0" w:gutter="0"/>
          <w:cols w:space="720" w:num="1"/>
        </w:sectPr>
      </w:pPr>
    </w:p>
    <w:p>
      <w:pPr>
        <w:pStyle w:val="2"/>
      </w:pPr>
    </w:p>
    <w:sectPr>
      <w:headerReference r:id="rId5" w:type="default"/>
      <w:pgSz w:w="16850" w:h="11910"/>
      <w:pgMar w:top="400" w:right="2235" w:bottom="0" w:left="1489"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CESI仿宋-GB13000">
    <w:panose1 w:val="02000500000000000000"/>
    <w:charset w:val="86"/>
    <w:family w:val="auto"/>
    <w:pitch w:val="default"/>
    <w:sig w:usb0="800002BF" w:usb1="18CF7CF8" w:usb2="00000016" w:usb3="00000000" w:csb0="0004000F" w:csb1="00000000"/>
  </w:font>
  <w:font w:name="方正仿宋简体">
    <w:panose1 w:val="02010601030101010101"/>
    <w:charset w:val="86"/>
    <w:family w:val="auto"/>
    <w:pitch w:val="default"/>
    <w:sig w:usb0="00000001" w:usb1="080E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D68117"/>
    <w:multiLevelType w:val="singleLevel"/>
    <w:tmpl w:val="F5D68117"/>
    <w:lvl w:ilvl="0" w:tentative="0">
      <w:start w:val="1"/>
      <w:numFmt w:val="decimal"/>
      <w:lvlText w:val="%1."/>
      <w:lvlJc w:val="left"/>
      <w:pPr>
        <w:tabs>
          <w:tab w:val="left" w:pos="312"/>
        </w:tabs>
      </w:pPr>
    </w:lvl>
  </w:abstractNum>
  <w:abstractNum w:abstractNumId="1">
    <w:nsid w:val="FF7269B0"/>
    <w:multiLevelType w:val="singleLevel"/>
    <w:tmpl w:val="FF7269B0"/>
    <w:lvl w:ilvl="0" w:tentative="0">
      <w:start w:val="1"/>
      <w:numFmt w:val="decimal"/>
      <w:lvlText w:val="%1."/>
      <w:lvlJc w:val="left"/>
      <w:pPr>
        <w:tabs>
          <w:tab w:val="left" w:pos="312"/>
        </w:tabs>
      </w:pPr>
    </w:lvl>
  </w:abstractNum>
  <w:abstractNum w:abstractNumId="2">
    <w:nsid w:val="7BDC47D4"/>
    <w:multiLevelType w:val="singleLevel"/>
    <w:tmpl w:val="7BDC47D4"/>
    <w:lvl w:ilvl="0" w:tentative="0">
      <w:start w:val="1"/>
      <w:numFmt w:val="decimal"/>
      <w:lvlText w:val="%1."/>
      <w:lvlJc w:val="left"/>
      <w:pPr>
        <w:tabs>
          <w:tab w:val="left" w:pos="312"/>
        </w:tabs>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55331649"/>
    <w:rsid w:val="BF1B13C7"/>
    <w:rsid w:val="FBCF600B"/>
    <w:rsid w:val="FBE7E0BD"/>
    <w:rsid w:val="FFFF546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宋体" w:hAnsi="宋体" w:eastAsia="宋体" w:cs="宋体"/>
      <w:sz w:val="19"/>
      <w:szCs w:val="19"/>
      <w:lang w:val="en-US" w:eastAsia="en-US" w:bidi="ar-SA"/>
    </w:rPr>
  </w:style>
  <w:style w:type="character" w:customStyle="1" w:styleId="9">
    <w:name w:val="font11"/>
    <w:basedOn w:val="6"/>
    <w:qFormat/>
    <w:uiPriority w:val="0"/>
    <w:rPr>
      <w:rFonts w:hint="eastAsia" w:ascii="CESI仿宋-GB13000" w:hAnsi="CESI仿宋-GB13000" w:eastAsia="CESI仿宋-GB13000" w:cs="CESI仿宋-GB13000"/>
      <w:color w:val="FF0000"/>
      <w:sz w:val="24"/>
      <w:szCs w:val="24"/>
      <w:u w:val="none"/>
    </w:rPr>
  </w:style>
  <w:style w:type="character" w:customStyle="1" w:styleId="10">
    <w:name w:val="font01"/>
    <w:basedOn w:val="6"/>
    <w:qFormat/>
    <w:uiPriority w:val="0"/>
    <w:rPr>
      <w:rFonts w:hint="eastAsia" w:ascii="CESI仿宋-GB13000" w:hAnsi="CESI仿宋-GB13000" w:eastAsia="CESI仿宋-GB13000" w:cs="CESI仿宋-GB13000"/>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1027"/>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Office_11.8.2.12185_F1E327BC-269C-435d-A152-05C5408002CA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2025-11-06T14:25:00Z</dcterms:created>
  <dc:creator>uos</dc:creator>
  <cp:lastModifiedBy>uos</cp:lastModifiedBy>
  <cp:lastPrinted>2025-11-06T15:21:26Z</cp:lastPrinted>
  <dcterms:modified xsi:type="dcterms:W3CDTF">2025-11-06T15:23:24Z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2025-11-05T14:25:58Z</vt:filetime>
  </property>
  <property fmtid="{D5CDD505-2E9C-101B-9397-08002B2CF9AE}" pid="4" name="UsrData">
    <vt:lpwstr>690aedf2007aee001f37b42bwl</vt:lpwstr>
  </property>
  <property fmtid="{D5CDD505-2E9C-101B-9397-08002B2CF9AE}" pid="5" name="KSOProductBuildVer">
    <vt:lpwstr>2052-11.8.2.12185</vt:lpwstr>
  </property>
  <property fmtid="{D5CDD505-2E9C-101B-9397-08002B2CF9AE}" pid="6" name="ICV">
    <vt:lpwstr>D608D4E50C6FAE7CA8F90B6909D5F460</vt:lpwstr>
  </property>
</Properties>
</file>