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290" w:lineRule="auto"/>
        <w:rPr>
          <w:rFonts w:ascii="Arial"/>
          <w:sz w:val="21"/>
        </w:rPr>
      </w:pPr>
    </w:p>
    <w:p>
      <w:pPr>
        <w:spacing w:line="291" w:lineRule="auto"/>
        <w:rPr>
          <w:rFonts w:ascii="Arial"/>
          <w:sz w:val="21"/>
        </w:rPr>
      </w:pPr>
    </w:p>
    <w:p>
      <w:pPr>
        <w:spacing w:before="101" w:line="219" w:lineRule="auto"/>
        <w:jc w:val="center"/>
        <w:outlineLvl w:val="0"/>
        <w:rPr>
          <w:rFonts w:ascii="宋体" w:hAnsi="宋体" w:eastAsia="宋体" w:cs="宋体"/>
          <w:sz w:val="31"/>
          <w:szCs w:val="31"/>
        </w:rPr>
      </w:pPr>
      <w:r>
        <w:rPr>
          <w:rFonts w:hint="eastAsia" w:ascii="宋体" w:hAnsi="宋体" w:eastAsia="宋体" w:cs="宋体"/>
          <w:b/>
          <w:bCs/>
          <w:spacing w:val="-4"/>
          <w:sz w:val="31"/>
          <w:szCs w:val="31"/>
          <w:lang w:eastAsia="zh-CN"/>
        </w:rPr>
        <w:t>井陉县文化广电体育和旅游局</w:t>
      </w:r>
      <w:r>
        <w:rPr>
          <w:rFonts w:ascii="宋体" w:hAnsi="宋体" w:eastAsia="宋体" w:cs="宋体"/>
          <w:b/>
          <w:bCs/>
          <w:spacing w:val="-4"/>
          <w:sz w:val="31"/>
          <w:szCs w:val="31"/>
        </w:rPr>
        <w:t>2025年度涉企行政检查内容与标准</w:t>
      </w:r>
    </w:p>
    <w:p>
      <w:pPr>
        <w:spacing w:line="38" w:lineRule="exact"/>
      </w:pPr>
    </w:p>
    <w:p>
      <w:pPr>
        <w:rPr>
          <w:rFonts w:ascii="Arial"/>
          <w:sz w:val="21"/>
        </w:rPr>
      </w:pPr>
    </w:p>
    <w:tbl>
      <w:tblPr>
        <w:tblStyle w:val="4"/>
        <w:tblW w:w="14329"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24"/>
        <w:gridCol w:w="1778"/>
        <w:gridCol w:w="1950"/>
        <w:gridCol w:w="7210"/>
        <w:gridCol w:w="276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4" w:hRule="atLeast"/>
        </w:trPr>
        <w:tc>
          <w:tcPr>
            <w:tcW w:w="624" w:type="dxa"/>
            <w:vAlign w:val="center"/>
          </w:tcPr>
          <w:p>
            <w:pPr>
              <w:pStyle w:val="5"/>
              <w:spacing w:before="133" w:line="221" w:lineRule="auto"/>
              <w:ind w:left="48"/>
              <w:jc w:val="center"/>
              <w:rPr>
                <w:sz w:val="26"/>
                <w:szCs w:val="26"/>
              </w:rPr>
            </w:pPr>
            <w:r>
              <w:rPr>
                <w:b/>
                <w:bCs/>
                <w:spacing w:val="-6"/>
                <w:sz w:val="26"/>
                <w:szCs w:val="26"/>
              </w:rPr>
              <w:t>序号</w:t>
            </w:r>
          </w:p>
        </w:tc>
        <w:tc>
          <w:tcPr>
            <w:tcW w:w="1778" w:type="dxa"/>
            <w:vAlign w:val="center"/>
          </w:tcPr>
          <w:p>
            <w:pPr>
              <w:pStyle w:val="5"/>
              <w:spacing w:before="132" w:line="220" w:lineRule="auto"/>
              <w:ind w:left="64"/>
              <w:jc w:val="center"/>
              <w:rPr>
                <w:sz w:val="26"/>
                <w:szCs w:val="26"/>
              </w:rPr>
            </w:pPr>
            <w:r>
              <w:rPr>
                <w:b/>
                <w:bCs/>
                <w:spacing w:val="-5"/>
                <w:sz w:val="26"/>
                <w:szCs w:val="26"/>
              </w:rPr>
              <w:t>事项名称</w:t>
            </w:r>
          </w:p>
        </w:tc>
        <w:tc>
          <w:tcPr>
            <w:tcW w:w="1950" w:type="dxa"/>
            <w:vAlign w:val="center"/>
          </w:tcPr>
          <w:p>
            <w:pPr>
              <w:pStyle w:val="5"/>
              <w:spacing w:before="132" w:line="219" w:lineRule="auto"/>
              <w:ind w:left="425"/>
              <w:jc w:val="center"/>
              <w:rPr>
                <w:sz w:val="26"/>
                <w:szCs w:val="26"/>
              </w:rPr>
            </w:pPr>
            <w:r>
              <w:rPr>
                <w:b/>
                <w:bCs/>
                <w:spacing w:val="-5"/>
                <w:sz w:val="26"/>
                <w:szCs w:val="26"/>
              </w:rPr>
              <w:t>检查对象</w:t>
            </w:r>
          </w:p>
        </w:tc>
        <w:tc>
          <w:tcPr>
            <w:tcW w:w="7210" w:type="dxa"/>
            <w:vAlign w:val="center"/>
          </w:tcPr>
          <w:p>
            <w:pPr>
              <w:pStyle w:val="5"/>
              <w:spacing w:before="132" w:line="219" w:lineRule="auto"/>
              <w:ind w:left="3726"/>
              <w:jc w:val="center"/>
              <w:rPr>
                <w:sz w:val="26"/>
                <w:szCs w:val="26"/>
              </w:rPr>
            </w:pPr>
            <w:r>
              <w:rPr>
                <w:b/>
                <w:bCs/>
                <w:spacing w:val="-5"/>
                <w:sz w:val="26"/>
                <w:szCs w:val="26"/>
              </w:rPr>
              <w:t>检查内容</w:t>
            </w:r>
          </w:p>
        </w:tc>
        <w:tc>
          <w:tcPr>
            <w:tcW w:w="2767" w:type="dxa"/>
            <w:vAlign w:val="center"/>
          </w:tcPr>
          <w:p>
            <w:pPr>
              <w:pStyle w:val="5"/>
              <w:spacing w:before="132" w:line="219" w:lineRule="auto"/>
              <w:ind w:left="632"/>
              <w:jc w:val="center"/>
              <w:rPr>
                <w:sz w:val="26"/>
                <w:szCs w:val="26"/>
              </w:rPr>
            </w:pPr>
            <w:r>
              <w:rPr>
                <w:b/>
                <w:bCs/>
                <w:spacing w:val="-5"/>
                <w:sz w:val="26"/>
                <w:szCs w:val="26"/>
              </w:rPr>
              <w:t>检查标准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89" w:hRule="atLeast"/>
        </w:trPr>
        <w:tc>
          <w:tcPr>
            <w:tcW w:w="624" w:type="dxa"/>
            <w:vAlign w:val="center"/>
          </w:tcPr>
          <w:p>
            <w:pPr>
              <w:pStyle w:val="5"/>
              <w:spacing w:before="59" w:line="241" w:lineRule="auto"/>
              <w:jc w:val="center"/>
            </w:pPr>
            <w:r>
              <w:rPr>
                <w:color w:val="807070"/>
              </w:rPr>
              <w:t>1</w:t>
            </w:r>
          </w:p>
        </w:tc>
        <w:tc>
          <w:tcPr>
            <w:tcW w:w="1778" w:type="dxa"/>
            <w:vAlign w:val="center"/>
          </w:tcPr>
          <w:p>
            <w:pPr>
              <w:pStyle w:val="5"/>
              <w:spacing w:before="59" w:line="215" w:lineRule="auto"/>
              <w:jc w:val="both"/>
            </w:pPr>
            <w:r>
              <w:rPr>
                <w:spacing w:val="2"/>
              </w:rPr>
              <w:t>对娱乐场所的</w:t>
            </w:r>
            <w:r>
              <w:rPr>
                <w:spacing w:val="-2"/>
              </w:rPr>
              <w:t>行政检查</w:t>
            </w:r>
          </w:p>
        </w:tc>
        <w:tc>
          <w:tcPr>
            <w:tcW w:w="1950" w:type="dxa"/>
            <w:vAlign w:val="center"/>
          </w:tcPr>
          <w:p>
            <w:pPr>
              <w:pStyle w:val="5"/>
              <w:spacing w:before="59" w:line="219" w:lineRule="auto"/>
              <w:ind w:right="54"/>
              <w:jc w:val="both"/>
            </w:pPr>
            <w:r>
              <w:rPr>
                <w:spacing w:val="-1"/>
              </w:rPr>
              <w:t>歌舞娱乐场所、游艺娱</w:t>
            </w:r>
            <w:r>
              <w:rPr>
                <w:spacing w:val="1"/>
              </w:rPr>
              <w:t xml:space="preserve"> </w:t>
            </w:r>
            <w:r>
              <w:rPr>
                <w:spacing w:val="-3"/>
              </w:rPr>
              <w:t>乐场所</w:t>
            </w:r>
          </w:p>
        </w:tc>
        <w:tc>
          <w:tcPr>
            <w:tcW w:w="7210" w:type="dxa"/>
            <w:vAlign w:val="center"/>
          </w:tcPr>
          <w:p>
            <w:pPr>
              <w:pStyle w:val="5"/>
              <w:spacing w:before="58" w:line="222" w:lineRule="auto"/>
              <w:ind w:right="120"/>
              <w:jc w:val="both"/>
            </w:pPr>
            <w:r>
              <w:t>歌舞娱乐场所播放、表演的节目含有禁止内容，使用的歌曲点播系统连接至境外曲库</w:t>
            </w:r>
            <w:r>
              <w:rPr>
                <w:spacing w:val="-1"/>
              </w:rPr>
              <w:t>，歌舞娱乐场所接纳</w:t>
            </w:r>
            <w:r>
              <w:t xml:space="preserve"> 未成年人，擅自变更场所使用的歌曲点播系统；游艺娱乐场所设置未经文化主管部门内容核查的游戏游艺</w:t>
            </w:r>
            <w:r>
              <w:rPr>
                <w:spacing w:val="9"/>
              </w:rPr>
              <w:t xml:space="preserve"> </w:t>
            </w:r>
            <w:r>
              <w:t>设备，擅自变更游戏游艺设备；法律法规规章规定的其他事项。</w:t>
            </w:r>
          </w:p>
        </w:tc>
        <w:tc>
          <w:tcPr>
            <w:tcW w:w="2767" w:type="dxa"/>
            <w:vAlign w:val="center"/>
          </w:tcPr>
          <w:p>
            <w:pPr>
              <w:pStyle w:val="5"/>
              <w:spacing w:before="147" w:line="219" w:lineRule="auto"/>
              <w:ind w:right="11"/>
              <w:jc w:val="both"/>
            </w:pPr>
            <w:r>
              <w:rPr>
                <w:spacing w:val="-2"/>
              </w:rPr>
              <w:t>《娱乐场所管理条例》第十</w:t>
            </w:r>
            <w:r>
              <w:rPr>
                <w:spacing w:val="-1"/>
              </w:rPr>
              <w:t>八条、第十九条、第二十三</w:t>
            </w:r>
            <w:r>
              <w:rPr>
                <w:spacing w:val="1"/>
              </w:rPr>
              <w:t xml:space="preserve"> </w:t>
            </w:r>
            <w:r>
              <w:rPr>
                <w:spacing w:val="-2"/>
              </w:rPr>
              <w:t>条。《娱乐场所管理办法》</w:t>
            </w:r>
            <w:r>
              <w:rPr>
                <w:spacing w:val="7"/>
              </w:rPr>
              <w:t xml:space="preserve"> </w:t>
            </w:r>
            <w:r>
              <w:t>第十六条、第二十条、第二</w:t>
            </w:r>
            <w:r>
              <w:rPr>
                <w:spacing w:val="1"/>
              </w:rPr>
              <w:t xml:space="preserve"> </w:t>
            </w:r>
            <w:r>
              <w:t>十一条。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8" w:hRule="atLeast"/>
        </w:trPr>
        <w:tc>
          <w:tcPr>
            <w:tcW w:w="624" w:type="dxa"/>
            <w:vAlign w:val="center"/>
          </w:tcPr>
          <w:p>
            <w:pPr>
              <w:pStyle w:val="5"/>
              <w:spacing w:before="59" w:line="241" w:lineRule="auto"/>
              <w:jc w:val="center"/>
            </w:pPr>
            <w:r>
              <w:rPr>
                <w:color w:val="506060"/>
              </w:rPr>
              <w:t>2</w:t>
            </w:r>
          </w:p>
        </w:tc>
        <w:tc>
          <w:tcPr>
            <w:tcW w:w="1778" w:type="dxa"/>
            <w:vAlign w:val="center"/>
          </w:tcPr>
          <w:p>
            <w:pPr>
              <w:pStyle w:val="5"/>
              <w:spacing w:before="58" w:line="195" w:lineRule="auto"/>
              <w:jc w:val="both"/>
            </w:pPr>
            <w:r>
              <w:rPr>
                <w:spacing w:val="-1"/>
              </w:rPr>
              <w:t>对艺术品的行</w:t>
            </w:r>
            <w:r>
              <w:rPr>
                <w:spacing w:val="-2"/>
              </w:rPr>
              <w:t>政检查</w:t>
            </w:r>
          </w:p>
        </w:tc>
        <w:tc>
          <w:tcPr>
            <w:tcW w:w="1950" w:type="dxa"/>
            <w:vAlign w:val="center"/>
          </w:tcPr>
          <w:p>
            <w:pPr>
              <w:pStyle w:val="5"/>
              <w:spacing w:before="168" w:line="205" w:lineRule="auto"/>
              <w:ind w:left="42"/>
              <w:jc w:val="center"/>
            </w:pPr>
            <w:r>
              <w:rPr>
                <w:spacing w:val="1"/>
              </w:rPr>
              <w:t>艺术品经营单位、以销</w:t>
            </w:r>
            <w:r>
              <w:rPr>
                <w:spacing w:val="-1"/>
              </w:rPr>
              <w:t>售、商业宣传为目的在境内公共展览场所举办有境外艺术品创作者或者境外艺术品参加的展</w:t>
            </w:r>
            <w:r>
              <w:rPr>
                <w:spacing w:val="4"/>
              </w:rPr>
              <w:t>示活动</w:t>
            </w:r>
          </w:p>
        </w:tc>
        <w:tc>
          <w:tcPr>
            <w:tcW w:w="7210" w:type="dxa"/>
            <w:vAlign w:val="center"/>
          </w:tcPr>
          <w:p>
            <w:pPr>
              <w:pStyle w:val="5"/>
              <w:spacing w:before="58" w:line="219" w:lineRule="auto"/>
              <w:jc w:val="both"/>
            </w:pPr>
            <w:r>
              <w:t>经营含有禁止内容的艺术品；不能证明经营的艺术品的合法来源；法律法规规章规定的其他事</w:t>
            </w:r>
            <w:r>
              <w:rPr>
                <w:spacing w:val="-1"/>
              </w:rPr>
              <w:t>项。</w:t>
            </w:r>
          </w:p>
        </w:tc>
        <w:tc>
          <w:tcPr>
            <w:tcW w:w="2767" w:type="dxa"/>
            <w:vAlign w:val="center"/>
          </w:tcPr>
          <w:p>
            <w:pPr>
              <w:pStyle w:val="5"/>
              <w:spacing w:before="58" w:line="217" w:lineRule="auto"/>
              <w:ind w:right="43"/>
              <w:jc w:val="both"/>
            </w:pPr>
            <w:r>
              <w:rPr>
                <w:spacing w:val="-2"/>
              </w:rPr>
              <w:t>《艺术品经营管理办法》第</w:t>
            </w:r>
            <w:r>
              <w:rPr>
                <w:spacing w:val="-1"/>
              </w:rPr>
              <w:t>六条、第七条。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88" w:hRule="atLeast"/>
        </w:trPr>
        <w:tc>
          <w:tcPr>
            <w:tcW w:w="624" w:type="dxa"/>
            <w:vAlign w:val="center"/>
          </w:tcPr>
          <w:p>
            <w:pPr>
              <w:pStyle w:val="5"/>
              <w:spacing w:before="59"/>
              <w:jc w:val="center"/>
            </w:pPr>
            <w:r>
              <w:rPr>
                <w:color w:val="506060"/>
              </w:rPr>
              <w:t>3</w:t>
            </w:r>
          </w:p>
        </w:tc>
        <w:tc>
          <w:tcPr>
            <w:tcW w:w="1778" w:type="dxa"/>
            <w:vAlign w:val="center"/>
          </w:tcPr>
          <w:p>
            <w:pPr>
              <w:pStyle w:val="5"/>
              <w:spacing w:before="59" w:line="221" w:lineRule="auto"/>
              <w:jc w:val="both"/>
            </w:pPr>
            <w:r>
              <w:rPr>
                <w:spacing w:val="2"/>
              </w:rPr>
              <w:t>对互联网上网</w:t>
            </w:r>
            <w:r>
              <w:rPr>
                <w:spacing w:val="-1"/>
              </w:rPr>
              <w:t>服务营业场所</w:t>
            </w:r>
            <w:r>
              <w:rPr>
                <w:spacing w:val="1"/>
              </w:rPr>
              <w:t>的行政检查</w:t>
            </w:r>
          </w:p>
        </w:tc>
        <w:tc>
          <w:tcPr>
            <w:tcW w:w="1950" w:type="dxa"/>
            <w:vAlign w:val="center"/>
          </w:tcPr>
          <w:p>
            <w:pPr>
              <w:pStyle w:val="5"/>
              <w:spacing w:before="59" w:line="220" w:lineRule="auto"/>
              <w:jc w:val="both"/>
            </w:pPr>
            <w:r>
              <w:rPr>
                <w:spacing w:val="1"/>
              </w:rPr>
              <w:t>网吧、电竞酒店</w:t>
            </w:r>
          </w:p>
        </w:tc>
        <w:tc>
          <w:tcPr>
            <w:tcW w:w="7210" w:type="dxa"/>
            <w:vAlign w:val="center"/>
          </w:tcPr>
          <w:p>
            <w:pPr>
              <w:pStyle w:val="5"/>
              <w:spacing w:before="59" w:line="230" w:lineRule="auto"/>
              <w:ind w:right="110"/>
              <w:jc w:val="both"/>
            </w:pPr>
            <w:r>
              <w:t>互联网上网服务营业场所接纳未成年人进入营业场所；擅自停止实施经营管理技</w:t>
            </w:r>
            <w:r>
              <w:rPr>
                <w:spacing w:val="-1"/>
              </w:rPr>
              <w:t>术措施；未悬挂《网络文</w:t>
            </w:r>
            <w:r>
              <w:t xml:space="preserve"> 化经营许可证》或者未成年人禁入标志；未按规定核对、登记上网消费者的有效身份</w:t>
            </w:r>
            <w:r>
              <w:rPr>
                <w:spacing w:val="-1"/>
              </w:rPr>
              <w:t>证件或者记录有关上</w:t>
            </w:r>
            <w:r>
              <w:t xml:space="preserve"> </w:t>
            </w:r>
            <w:r>
              <w:rPr>
                <w:spacing w:val="1"/>
              </w:rPr>
              <w:t>网信息；变更名称、住所、法定代表人或者</w:t>
            </w:r>
            <w:r>
              <w:t>主要负责人、网络地址或者终止经营活动，未向文化行政部门 办理有关手续或者备案；法律法规规章规定的其他事项。</w:t>
            </w:r>
          </w:p>
        </w:tc>
        <w:tc>
          <w:tcPr>
            <w:tcW w:w="2767" w:type="dxa"/>
            <w:vAlign w:val="center"/>
          </w:tcPr>
          <w:p>
            <w:pPr>
              <w:pStyle w:val="5"/>
              <w:spacing w:before="58" w:line="230" w:lineRule="auto"/>
              <w:ind w:right="25"/>
              <w:jc w:val="both"/>
            </w:pPr>
            <w:r>
              <w:rPr>
                <w:spacing w:val="-2"/>
              </w:rPr>
              <w:t>《互联网上网服务营业场所</w:t>
            </w:r>
            <w:r>
              <w:rPr>
                <w:spacing w:val="8"/>
              </w:rPr>
              <w:t xml:space="preserve"> </w:t>
            </w:r>
            <w:r>
              <w:rPr>
                <w:spacing w:val="-1"/>
              </w:rPr>
              <w:t>管理条例》第十三条、第十</w:t>
            </w:r>
            <w:r>
              <w:t xml:space="preserve"> </w:t>
            </w:r>
            <w:r>
              <w:rPr>
                <w:spacing w:val="-1"/>
              </w:rPr>
              <w:t>九条、第二十一条、第二十</w:t>
            </w:r>
            <w:r>
              <w:t xml:space="preserve"> </w:t>
            </w:r>
            <w:r>
              <w:rPr>
                <w:spacing w:val="-1"/>
              </w:rPr>
              <w:t>三条。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08" w:hRule="atLeast"/>
        </w:trPr>
        <w:tc>
          <w:tcPr>
            <w:tcW w:w="624" w:type="dxa"/>
            <w:vAlign w:val="center"/>
          </w:tcPr>
          <w:p>
            <w:pPr>
              <w:pStyle w:val="5"/>
              <w:spacing w:before="58" w:line="241" w:lineRule="auto"/>
              <w:jc w:val="center"/>
            </w:pPr>
            <w:r>
              <w:rPr>
                <w:color w:val="809080"/>
              </w:rPr>
              <w:t>4</w:t>
            </w:r>
          </w:p>
        </w:tc>
        <w:tc>
          <w:tcPr>
            <w:tcW w:w="1778" w:type="dxa"/>
            <w:vAlign w:val="center"/>
          </w:tcPr>
          <w:p>
            <w:pPr>
              <w:pStyle w:val="5"/>
              <w:spacing w:before="59" w:line="236" w:lineRule="auto"/>
              <w:ind w:right="54"/>
              <w:jc w:val="both"/>
            </w:pPr>
            <w:r>
              <w:rPr>
                <w:spacing w:val="-2"/>
              </w:rPr>
              <w:t>对互联网文化</w:t>
            </w:r>
            <w:r>
              <w:rPr>
                <w:spacing w:val="1"/>
              </w:rPr>
              <w:t>的行政检查</w:t>
            </w:r>
          </w:p>
        </w:tc>
        <w:tc>
          <w:tcPr>
            <w:tcW w:w="1950" w:type="dxa"/>
            <w:vAlign w:val="center"/>
          </w:tcPr>
          <w:p>
            <w:pPr>
              <w:pStyle w:val="5"/>
              <w:spacing w:before="58" w:line="220" w:lineRule="auto"/>
              <w:jc w:val="both"/>
            </w:pPr>
            <w:r>
              <w:rPr>
                <w:spacing w:val="1"/>
              </w:rPr>
              <w:t>网络音乐网站、网络演</w:t>
            </w:r>
            <w:r>
              <w:t>出剧(节)目经营单位</w:t>
            </w:r>
            <w:r>
              <w:rPr>
                <w:spacing w:val="4"/>
              </w:rPr>
              <w:t>、网络表演经营单位、</w:t>
            </w:r>
            <w:r>
              <w:t>网络艺术品网站、网络</w:t>
            </w:r>
            <w:r>
              <w:rPr>
                <w:spacing w:val="-2"/>
              </w:rPr>
              <w:t>动漫网站</w:t>
            </w:r>
          </w:p>
        </w:tc>
        <w:tc>
          <w:tcPr>
            <w:tcW w:w="7210" w:type="dxa"/>
            <w:vAlign w:val="center"/>
          </w:tcPr>
          <w:p>
            <w:pPr>
              <w:pStyle w:val="5"/>
              <w:spacing w:before="58" w:line="225" w:lineRule="auto"/>
              <w:ind w:right="118"/>
              <w:jc w:val="both"/>
            </w:pPr>
            <w:r>
              <w:t>经营性互联网文化单位未在网站主页的显著位置标明文化行政部门颁发的《网络文</w:t>
            </w:r>
            <w:r>
              <w:rPr>
                <w:spacing w:val="-1"/>
              </w:rPr>
              <w:t>化经营许可证》编号或</w:t>
            </w:r>
            <w:r>
              <w:t xml:space="preserve"> 者备案编号；经营性互联网文化单位经营进口互联网文化产品未在其显著位置标明文化部批准文号、经营</w:t>
            </w:r>
            <w:r>
              <w:rPr>
                <w:spacing w:val="11"/>
              </w:rPr>
              <w:t xml:space="preserve"> </w:t>
            </w:r>
            <w:r>
              <w:t>国产互联网文化产品未在其显著位置标明文化部备案编号；经营性互联网文化单位擅自变更进口互联网文</w:t>
            </w:r>
            <w:r>
              <w:rPr>
                <w:spacing w:val="8"/>
              </w:rPr>
              <w:t xml:space="preserve"> </w:t>
            </w:r>
            <w:r>
              <w:t>化产品的名称或者增删内容；经营性互联网文化单位经营国产互联网文化产品逾期</w:t>
            </w:r>
            <w:r>
              <w:rPr>
                <w:spacing w:val="-1"/>
              </w:rPr>
              <w:t>未报文化行政部门备</w:t>
            </w:r>
            <w:r>
              <w:t>案；经营性互联网文化单位提供含有禁止内容的互联网文化产品，或者提供未经文化部批准进口的互联网</w:t>
            </w:r>
            <w:r>
              <w:rPr>
                <w:spacing w:val="16"/>
              </w:rPr>
              <w:t xml:space="preserve"> </w:t>
            </w:r>
            <w:r>
              <w:rPr>
                <w:spacing w:val="-1"/>
              </w:rPr>
              <w:t>文化产品；法律法规规章规定的其他事项。</w:t>
            </w:r>
          </w:p>
        </w:tc>
        <w:tc>
          <w:tcPr>
            <w:tcW w:w="2767" w:type="dxa"/>
            <w:vAlign w:val="center"/>
          </w:tcPr>
          <w:p>
            <w:pPr>
              <w:pStyle w:val="5"/>
              <w:spacing w:before="58" w:line="227" w:lineRule="auto"/>
              <w:ind w:right="43"/>
              <w:jc w:val="both"/>
            </w:pPr>
            <w:r>
              <w:rPr>
                <w:spacing w:val="-2"/>
              </w:rPr>
              <w:t>《互联网文化管理暂行规定</w:t>
            </w:r>
            <w:r>
              <w:rPr>
                <w:spacing w:val="3"/>
              </w:rPr>
              <w:t xml:space="preserve"> </w:t>
            </w:r>
            <w:r>
              <w:rPr>
                <w:spacing w:val="-8"/>
              </w:rPr>
              <w:t>》第十二条、第十三条、第</w:t>
            </w:r>
            <w:r>
              <w:rPr>
                <w:spacing w:val="4"/>
              </w:rPr>
              <w:t xml:space="preserve"> </w:t>
            </w:r>
            <w:r>
              <w:rPr>
                <w:spacing w:val="-1"/>
              </w:rPr>
              <w:t>十五条、第十六条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09" w:hRule="atLeast"/>
        </w:trPr>
        <w:tc>
          <w:tcPr>
            <w:tcW w:w="624" w:type="dxa"/>
            <w:vAlign w:val="center"/>
          </w:tcPr>
          <w:p>
            <w:pPr>
              <w:pStyle w:val="5"/>
              <w:spacing w:before="58"/>
              <w:jc w:val="center"/>
            </w:pPr>
            <w:r>
              <w:rPr>
                <w:color w:val="405050"/>
              </w:rPr>
              <w:t>5</w:t>
            </w:r>
          </w:p>
        </w:tc>
        <w:tc>
          <w:tcPr>
            <w:tcW w:w="1778" w:type="dxa"/>
            <w:vAlign w:val="center"/>
          </w:tcPr>
          <w:p>
            <w:pPr>
              <w:pStyle w:val="5"/>
              <w:spacing w:before="59" w:line="248" w:lineRule="auto"/>
              <w:ind w:right="33"/>
              <w:jc w:val="both"/>
            </w:pPr>
            <w:r>
              <w:rPr>
                <w:spacing w:val="2"/>
              </w:rPr>
              <w:t>对艺术考级的</w:t>
            </w:r>
            <w:r>
              <w:rPr>
                <w:spacing w:val="-2"/>
              </w:rPr>
              <w:t>行政检查</w:t>
            </w:r>
          </w:p>
        </w:tc>
        <w:tc>
          <w:tcPr>
            <w:tcW w:w="1950" w:type="dxa"/>
            <w:vAlign w:val="center"/>
          </w:tcPr>
          <w:p>
            <w:pPr>
              <w:pStyle w:val="5"/>
              <w:spacing w:before="58" w:line="229" w:lineRule="auto"/>
              <w:ind w:right="58"/>
              <w:jc w:val="both"/>
              <w:rPr>
                <w:spacing w:val="-2"/>
              </w:rPr>
            </w:pPr>
            <w:r>
              <w:rPr>
                <w:spacing w:val="-2"/>
              </w:rPr>
              <w:t>艺术考级机构、艺术考</w:t>
            </w:r>
          </w:p>
          <w:p>
            <w:pPr>
              <w:pStyle w:val="5"/>
              <w:spacing w:before="58" w:line="229" w:lineRule="auto"/>
              <w:ind w:right="58"/>
              <w:jc w:val="both"/>
            </w:pPr>
            <w:r>
              <w:rPr>
                <w:spacing w:val="4"/>
              </w:rPr>
              <w:t>级活动</w:t>
            </w:r>
          </w:p>
        </w:tc>
        <w:tc>
          <w:tcPr>
            <w:tcW w:w="7210" w:type="dxa"/>
            <w:vAlign w:val="center"/>
          </w:tcPr>
          <w:p>
            <w:pPr>
              <w:pStyle w:val="5"/>
              <w:spacing w:before="59" w:line="238" w:lineRule="auto"/>
              <w:ind w:right="138"/>
              <w:jc w:val="both"/>
            </w:pPr>
            <w:r>
              <w:t>承办社会艺术水平考级活动的实际资质、条件是否与申报材料显示的内容相符合；社</w:t>
            </w:r>
            <w:r>
              <w:rPr>
                <w:spacing w:val="-1"/>
              </w:rPr>
              <w:t>会艺术水平考级活动</w:t>
            </w:r>
            <w:r>
              <w:t>是否在有效期内；是否按照已批准的考级备案材料进行社会艺术水平考级活动。</w:t>
            </w:r>
          </w:p>
        </w:tc>
        <w:tc>
          <w:tcPr>
            <w:tcW w:w="2767" w:type="dxa"/>
            <w:vAlign w:val="center"/>
          </w:tcPr>
          <w:p>
            <w:pPr>
              <w:pStyle w:val="5"/>
              <w:spacing w:before="164" w:line="224" w:lineRule="auto"/>
              <w:jc w:val="both"/>
            </w:pPr>
            <w:r>
              <w:rPr>
                <w:spacing w:val="-9"/>
              </w:rPr>
              <w:t>《社会艺术水平考级管理办</w:t>
            </w:r>
            <w:r>
              <w:rPr>
                <w:spacing w:val="1"/>
              </w:rPr>
              <w:t>法》第十一条、第十四条、</w:t>
            </w:r>
            <w:r>
              <w:t xml:space="preserve"> </w:t>
            </w:r>
            <w:r>
              <w:rPr>
                <w:spacing w:val="-8"/>
              </w:rPr>
              <w:t>第十五条、第十六条、第十</w:t>
            </w:r>
            <w:r>
              <w:rPr>
                <w:spacing w:val="3"/>
              </w:rPr>
              <w:t xml:space="preserve">  </w:t>
            </w:r>
            <w:r>
              <w:rPr>
                <w:spacing w:val="-8"/>
              </w:rPr>
              <w:t>七条、第十八条、第十九条</w:t>
            </w:r>
            <w:r>
              <w:rPr>
                <w:spacing w:val="3"/>
              </w:rPr>
              <w:t xml:space="preserve">  </w:t>
            </w:r>
            <w:r>
              <w:rPr>
                <w:spacing w:val="-6"/>
              </w:rPr>
              <w:t>、第二十三条。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23" w:hRule="atLeast"/>
        </w:trPr>
        <w:tc>
          <w:tcPr>
            <w:tcW w:w="624" w:type="dxa"/>
            <w:vAlign w:val="center"/>
          </w:tcPr>
          <w:p>
            <w:pPr>
              <w:pStyle w:val="5"/>
              <w:spacing w:before="56" w:line="230" w:lineRule="exact"/>
              <w:jc w:val="center"/>
              <w:rPr>
                <w:color w:val="405050"/>
              </w:rPr>
            </w:pPr>
            <w:r>
              <w:rPr>
                <w:rFonts w:hint="eastAsia" w:ascii="宋体" w:hAnsi="宋体" w:eastAsia="宋体" w:cs="宋体"/>
                <w:b w:val="0"/>
                <w:bCs w:val="0"/>
                <w:spacing w:val="-2"/>
                <w:position w:val="1"/>
                <w:sz w:val="18"/>
                <w:szCs w:val="18"/>
                <w:shd w:val="clear" w:color="auto" w:fill="auto"/>
              </w:rPr>
              <w:t>6</w:t>
            </w:r>
          </w:p>
        </w:tc>
        <w:tc>
          <w:tcPr>
            <w:tcW w:w="1778" w:type="dxa"/>
            <w:vAlign w:val="center"/>
          </w:tcPr>
          <w:p>
            <w:pPr>
              <w:pStyle w:val="5"/>
              <w:spacing w:before="55" w:line="229" w:lineRule="auto"/>
              <w:jc w:val="both"/>
              <w:rPr>
                <w:spacing w:val="2"/>
              </w:rPr>
            </w:pPr>
            <w:r>
              <w:rPr>
                <w:rFonts w:hint="eastAsia" w:ascii="宋体" w:hAnsi="宋体" w:eastAsia="宋体" w:cs="宋体"/>
                <w:b w:val="0"/>
                <w:bCs w:val="0"/>
                <w:spacing w:val="7"/>
                <w:sz w:val="18"/>
                <w:szCs w:val="18"/>
                <w:shd w:val="clear" w:color="auto" w:fill="auto"/>
              </w:rPr>
              <w:t>对旅行社的监</w:t>
            </w:r>
            <w:r>
              <w:rPr>
                <w:rFonts w:hint="eastAsia" w:ascii="宋体" w:hAnsi="宋体" w:eastAsia="宋体" w:cs="宋体"/>
                <w:b w:val="0"/>
                <w:bCs w:val="0"/>
                <w:spacing w:val="4"/>
                <w:sz w:val="18"/>
                <w:szCs w:val="18"/>
                <w:shd w:val="clear" w:color="auto" w:fill="auto"/>
              </w:rPr>
              <w:t>督检查</w:t>
            </w:r>
          </w:p>
        </w:tc>
        <w:tc>
          <w:tcPr>
            <w:tcW w:w="1950" w:type="dxa"/>
            <w:vAlign w:val="center"/>
          </w:tcPr>
          <w:p>
            <w:pPr>
              <w:pStyle w:val="5"/>
              <w:spacing w:before="56" w:line="238" w:lineRule="auto"/>
              <w:ind w:right="44" w:rightChars="0"/>
              <w:jc w:val="both"/>
              <w:rPr>
                <w:spacing w:val="-2"/>
              </w:rPr>
            </w:pPr>
            <w:r>
              <w:rPr>
                <w:rFonts w:hint="eastAsia" w:ascii="宋体" w:hAnsi="宋体" w:eastAsia="宋体" w:cs="宋体"/>
                <w:b w:val="0"/>
                <w:bCs w:val="0"/>
                <w:spacing w:val="4"/>
                <w:sz w:val="18"/>
                <w:szCs w:val="18"/>
                <w:shd w:val="clear" w:color="auto" w:fill="auto"/>
              </w:rPr>
              <w:t>旅行社、旅行社分、</w:t>
            </w:r>
            <w:r>
              <w:rPr>
                <w:rFonts w:hint="eastAsia" w:ascii="宋体" w:hAnsi="宋体" w:eastAsia="宋体" w:cs="宋体"/>
                <w:b w:val="0"/>
                <w:bCs w:val="0"/>
                <w:spacing w:val="3"/>
                <w:sz w:val="18"/>
                <w:szCs w:val="18"/>
                <w:shd w:val="clear" w:color="auto" w:fill="auto"/>
              </w:rPr>
              <w:t xml:space="preserve"> </w:t>
            </w:r>
            <w:r>
              <w:rPr>
                <w:rFonts w:hint="eastAsia" w:ascii="宋体" w:hAnsi="宋体" w:eastAsia="宋体" w:cs="宋体"/>
                <w:b w:val="0"/>
                <w:bCs w:val="0"/>
                <w:spacing w:val="6"/>
                <w:sz w:val="18"/>
                <w:szCs w:val="18"/>
                <w:shd w:val="clear" w:color="auto" w:fill="auto"/>
              </w:rPr>
              <w:t>旅行社网点</w:t>
            </w:r>
          </w:p>
        </w:tc>
        <w:tc>
          <w:tcPr>
            <w:tcW w:w="7210" w:type="dxa"/>
            <w:vAlign w:val="center"/>
          </w:tcPr>
          <w:p>
            <w:pPr>
              <w:pStyle w:val="5"/>
              <w:spacing w:before="171" w:line="229" w:lineRule="auto"/>
              <w:jc w:val="both"/>
            </w:pPr>
            <w:r>
              <w:rPr>
                <w:rFonts w:hint="eastAsia" w:ascii="宋体" w:hAnsi="宋体" w:eastAsia="宋体" w:cs="宋体"/>
                <w:b w:val="0"/>
                <w:bCs w:val="0"/>
                <w:spacing w:val="8"/>
                <w:sz w:val="18"/>
                <w:szCs w:val="18"/>
                <w:shd w:val="clear" w:color="auto" w:fill="auto"/>
              </w:rPr>
              <w:t>是否存在未经许可经营旅行社业务的行为；是否存在未经许可经营出境旅游</w:t>
            </w:r>
            <w:r>
              <w:rPr>
                <w:rFonts w:hint="eastAsia" w:ascii="宋体" w:hAnsi="宋体" w:eastAsia="宋体" w:cs="宋体"/>
                <w:b w:val="0"/>
                <w:bCs w:val="0"/>
                <w:spacing w:val="7"/>
                <w:sz w:val="18"/>
                <w:szCs w:val="18"/>
                <w:shd w:val="clear" w:color="auto" w:fill="auto"/>
              </w:rPr>
              <w:t>、边境旅游业务，或者出租、</w:t>
            </w:r>
            <w:r>
              <w:rPr>
                <w:rFonts w:hint="eastAsia" w:ascii="宋体" w:hAnsi="宋体" w:eastAsia="宋体" w:cs="宋体"/>
                <w:b w:val="0"/>
                <w:bCs w:val="0"/>
                <w:spacing w:val="8"/>
                <w:sz w:val="18"/>
                <w:szCs w:val="18"/>
                <w:shd w:val="clear" w:color="auto" w:fill="auto"/>
              </w:rPr>
              <w:t>出借旅行社业务经营许可证，或者以其他方式非法转让旅行社业务经营许</w:t>
            </w:r>
            <w:r>
              <w:rPr>
                <w:rFonts w:hint="eastAsia" w:ascii="宋体" w:hAnsi="宋体" w:eastAsia="宋体" w:cs="宋体"/>
                <w:b w:val="0"/>
                <w:bCs w:val="0"/>
                <w:spacing w:val="7"/>
                <w:sz w:val="18"/>
                <w:szCs w:val="18"/>
                <w:shd w:val="clear" w:color="auto" w:fill="auto"/>
              </w:rPr>
              <w:t>可的行为；是否存旅行社及分社</w:t>
            </w:r>
            <w:r>
              <w:rPr>
                <w:rFonts w:hint="eastAsia" w:ascii="宋体" w:hAnsi="宋体" w:eastAsia="宋体" w:cs="宋体"/>
                <w:b w:val="0"/>
                <w:bCs w:val="0"/>
                <w:spacing w:val="8"/>
                <w:sz w:val="18"/>
                <w:szCs w:val="18"/>
                <w:shd w:val="clear" w:color="auto" w:fill="auto"/>
              </w:rPr>
              <w:t>和服务网点超范围经营的行为；是否存在旅行社未在规定期限内向其质量保证金账户存入、增存、补足质量保证金或者提交相应的银行担保行为；是否存在旅行社进行虚假宣传、向不合格的供应商订购产品和服务以及未按规定投保责任险的行为；是否存在变更登记事项或者终止经营、设立分社未按规定备案以及不按照规定报送统计资料的行为；是否存在外商投资旅行社经营内地居民出国及赴港澳台旅游业务，或者经营出境游业务的旅行社超地域范围组织旅游者出境旅游的行为；是否存在旅行社为旅游者安排或者介绍的旅游活动含有违反有关法律、法规规定的内容的行为；是否存在旅行社未经旅游者同意在旅游合同约定之</w:t>
            </w:r>
            <w:r>
              <w:rPr>
                <w:rFonts w:hint="eastAsia" w:ascii="宋体" w:hAnsi="宋体" w:eastAsia="宋体" w:cs="宋体"/>
                <w:b w:val="0"/>
                <w:bCs w:val="0"/>
                <w:spacing w:val="7"/>
                <w:sz w:val="18"/>
                <w:szCs w:val="18"/>
                <w:shd w:val="clear" w:color="auto" w:fill="auto"/>
              </w:rPr>
              <w:t>外提供其他有偿服务的行为；是否存在旅行社旅游未按规定签订旅游合同、合同未载明规定事项，以及违</w:t>
            </w:r>
            <w:r>
              <w:rPr>
                <w:rFonts w:hint="eastAsia" w:ascii="宋体" w:hAnsi="宋体" w:eastAsia="宋体" w:cs="宋体"/>
                <w:b w:val="0"/>
                <w:bCs w:val="0"/>
                <w:spacing w:val="8"/>
                <w:sz w:val="18"/>
                <w:szCs w:val="18"/>
                <w:shd w:val="clear" w:color="auto" w:fill="auto"/>
              </w:rPr>
              <w:t>规委托旅游业务的行为；是否存在旅行社未按规定安排领队导游提供服务，未支付导游服务费，要求导游垫付或收取费用的行为；是否存在旅行社拒不履行旅游合同约定的义务，非因不可抗力改变旅游合同安排</w:t>
            </w:r>
            <w:r>
              <w:rPr>
                <w:rFonts w:hint="eastAsia" w:ascii="宋体" w:hAnsi="宋体" w:eastAsia="宋体" w:cs="宋体"/>
                <w:b w:val="0"/>
                <w:bCs w:val="0"/>
                <w:spacing w:val="2"/>
                <w:sz w:val="18"/>
                <w:szCs w:val="18"/>
                <w:shd w:val="clear" w:color="auto" w:fill="auto"/>
              </w:rPr>
              <w:t xml:space="preserve"> </w:t>
            </w:r>
            <w:r>
              <w:rPr>
                <w:rFonts w:hint="eastAsia" w:ascii="宋体" w:hAnsi="宋体" w:eastAsia="宋体" w:cs="宋体"/>
                <w:b w:val="0"/>
                <w:bCs w:val="0"/>
                <w:spacing w:val="7"/>
                <w:sz w:val="18"/>
                <w:szCs w:val="18"/>
                <w:shd w:val="clear" w:color="auto" w:fill="auto"/>
              </w:rPr>
              <w:t>的行程，以及欺骗、胁迫旅游者的行为；是否存在旅行社在旅游行程中擅自变更旅游行程安排，严重损害</w:t>
            </w:r>
            <w:r>
              <w:rPr>
                <w:rFonts w:hint="eastAsia" w:ascii="宋体" w:hAnsi="宋体" w:eastAsia="宋体" w:cs="宋体"/>
                <w:b w:val="0"/>
                <w:bCs w:val="0"/>
                <w:spacing w:val="8"/>
                <w:sz w:val="18"/>
                <w:szCs w:val="18"/>
                <w:shd w:val="clear" w:color="auto" w:fill="auto"/>
              </w:rPr>
              <w:t>旅游者权益的行为；是否存在旅行社不向受托旅行社支付接待和服务费用，支付的费用低于成本，或受托旅行社接待不支付或不足额支付接待和服务费用的旅游团队的行为；是否存在旅行社及其委派的导游、领</w:t>
            </w:r>
            <w:r>
              <w:rPr>
                <w:rFonts w:hint="eastAsia" w:ascii="宋体" w:hAnsi="宋体" w:eastAsia="宋体" w:cs="宋体"/>
                <w:b w:val="0"/>
                <w:bCs w:val="0"/>
                <w:spacing w:val="2"/>
                <w:sz w:val="18"/>
                <w:szCs w:val="18"/>
                <w:shd w:val="clear" w:color="auto" w:fill="auto"/>
              </w:rPr>
              <w:t xml:space="preserve"> </w:t>
            </w:r>
            <w:r>
              <w:rPr>
                <w:rFonts w:hint="eastAsia" w:ascii="宋体" w:hAnsi="宋体" w:eastAsia="宋体" w:cs="宋体"/>
                <w:b w:val="0"/>
                <w:bCs w:val="0"/>
                <w:spacing w:val="8"/>
                <w:sz w:val="18"/>
                <w:szCs w:val="18"/>
                <w:shd w:val="clear" w:color="auto" w:fill="auto"/>
              </w:rPr>
              <w:t>队未按规定处置并报告危及旅游者人身安全及旅游者非法滞留情况的行为；是否存在旅行社擅自引进外商</w:t>
            </w:r>
            <w:r>
              <w:rPr>
                <w:rFonts w:hint="eastAsia" w:ascii="宋体" w:hAnsi="宋体" w:eastAsia="宋体" w:cs="宋体"/>
                <w:b w:val="0"/>
                <w:bCs w:val="0"/>
                <w:spacing w:val="2"/>
                <w:sz w:val="18"/>
                <w:szCs w:val="18"/>
                <w:shd w:val="clear" w:color="auto" w:fill="auto"/>
              </w:rPr>
              <w:t xml:space="preserve"> </w:t>
            </w:r>
            <w:r>
              <w:rPr>
                <w:rFonts w:hint="eastAsia" w:ascii="宋体" w:hAnsi="宋体" w:eastAsia="宋体" w:cs="宋体"/>
                <w:b w:val="0"/>
                <w:bCs w:val="0"/>
                <w:spacing w:val="8"/>
                <w:sz w:val="18"/>
                <w:szCs w:val="18"/>
                <w:shd w:val="clear" w:color="auto" w:fill="auto"/>
              </w:rPr>
              <w:t>投资、设立服务网点未在规定期限内备案，或者旅行社及其分社、服务网点未悬挂旅行社业务经营许可证</w:t>
            </w:r>
            <w:r>
              <w:rPr>
                <w:rFonts w:hint="eastAsia" w:cs="宋体"/>
                <w:b w:val="0"/>
                <w:bCs w:val="0"/>
                <w:spacing w:val="8"/>
                <w:sz w:val="18"/>
                <w:szCs w:val="18"/>
                <w:shd w:val="clear" w:color="auto" w:fill="auto"/>
                <w:lang w:eastAsia="zh-CN"/>
              </w:rPr>
              <w:t>、</w:t>
            </w:r>
            <w:r>
              <w:rPr>
                <w:rFonts w:hint="eastAsia" w:ascii="宋体" w:hAnsi="宋体" w:eastAsia="宋体" w:cs="宋体"/>
                <w:b w:val="0"/>
                <w:bCs w:val="0"/>
                <w:spacing w:val="8"/>
                <w:sz w:val="18"/>
                <w:szCs w:val="18"/>
                <w:shd w:val="clear" w:color="auto" w:fill="auto"/>
              </w:rPr>
              <w:t>备案登记证明的行为；是否存在旅行社为接待旅游者选择的接待企业不具有合法经营资格或者接待服务</w:t>
            </w:r>
            <w:r>
              <w:rPr>
                <w:rFonts w:hint="eastAsia" w:ascii="宋体" w:hAnsi="宋体" w:eastAsia="宋体" w:cs="宋体"/>
                <w:b w:val="0"/>
                <w:bCs w:val="0"/>
                <w:spacing w:val="2"/>
                <w:sz w:val="18"/>
                <w:szCs w:val="18"/>
                <w:shd w:val="clear" w:color="auto" w:fill="auto"/>
              </w:rPr>
              <w:t xml:space="preserve"> </w:t>
            </w:r>
            <w:r>
              <w:rPr>
                <w:rFonts w:hint="eastAsia" w:ascii="宋体" w:hAnsi="宋体" w:eastAsia="宋体" w:cs="宋体"/>
                <w:b w:val="0"/>
                <w:bCs w:val="0"/>
                <w:spacing w:val="8"/>
                <w:sz w:val="18"/>
                <w:szCs w:val="18"/>
                <w:shd w:val="clear" w:color="auto" w:fill="auto"/>
              </w:rPr>
              <w:t>能力的行为；是否存在旅行社要求旅游者必须参加购物活动、另付费旅游项目，或对同一旅游团队的旅游</w:t>
            </w:r>
            <w:r>
              <w:rPr>
                <w:rFonts w:hint="eastAsia" w:ascii="宋体" w:hAnsi="宋体" w:eastAsia="宋体" w:cs="宋体"/>
                <w:b w:val="0"/>
                <w:bCs w:val="0"/>
                <w:spacing w:val="2"/>
                <w:sz w:val="18"/>
                <w:szCs w:val="18"/>
                <w:shd w:val="clear" w:color="auto" w:fill="auto"/>
              </w:rPr>
              <w:t xml:space="preserve"> </w:t>
            </w:r>
            <w:r>
              <w:rPr>
                <w:rFonts w:hint="eastAsia" w:ascii="宋体" w:hAnsi="宋体" w:eastAsia="宋体" w:cs="宋体"/>
                <w:b w:val="0"/>
                <w:bCs w:val="0"/>
                <w:spacing w:val="8"/>
                <w:sz w:val="18"/>
                <w:szCs w:val="18"/>
                <w:shd w:val="clear" w:color="auto" w:fill="auto"/>
              </w:rPr>
              <w:t>者提出与其他旅游者不同合同事项的行为；是否存在旅行社未妥善保存各类旅游合同</w:t>
            </w:r>
            <w:r>
              <w:rPr>
                <w:rFonts w:hint="eastAsia" w:ascii="宋体" w:hAnsi="宋体" w:eastAsia="宋体" w:cs="宋体"/>
                <w:b w:val="0"/>
                <w:bCs w:val="0"/>
                <w:spacing w:val="7"/>
                <w:sz w:val="18"/>
                <w:szCs w:val="18"/>
                <w:shd w:val="clear" w:color="auto" w:fill="auto"/>
              </w:rPr>
              <w:t>及相关文件、资料，</w:t>
            </w:r>
            <w:r>
              <w:rPr>
                <w:rFonts w:hint="eastAsia" w:ascii="宋体" w:hAnsi="宋体" w:eastAsia="宋体" w:cs="宋体"/>
                <w:b w:val="0"/>
                <w:bCs w:val="0"/>
                <w:spacing w:val="8"/>
                <w:sz w:val="18"/>
                <w:szCs w:val="18"/>
                <w:shd w:val="clear" w:color="auto" w:fill="auto"/>
              </w:rPr>
              <w:t>保存期不够两年，或者泄露旅游者个人信息的行为；是否存在旅行社以不合理的低价组</w:t>
            </w:r>
            <w:r>
              <w:rPr>
                <w:rFonts w:hint="eastAsia" w:ascii="宋体" w:hAnsi="宋体" w:eastAsia="宋体" w:cs="宋体"/>
                <w:b w:val="0"/>
                <w:bCs w:val="0"/>
                <w:spacing w:val="7"/>
                <w:sz w:val="18"/>
                <w:szCs w:val="18"/>
                <w:shd w:val="clear" w:color="auto" w:fill="auto"/>
              </w:rPr>
              <w:t>织旅游活动，诱骗</w:t>
            </w:r>
            <w:r>
              <w:rPr>
                <w:rFonts w:hint="eastAsia" w:ascii="宋体" w:hAnsi="宋体" w:eastAsia="宋体" w:cs="宋体"/>
                <w:b w:val="0"/>
                <w:bCs w:val="0"/>
                <w:spacing w:val="8"/>
                <w:sz w:val="18"/>
                <w:szCs w:val="18"/>
                <w:shd w:val="clear" w:color="auto" w:fill="auto"/>
              </w:rPr>
              <w:t>旅游者获取不正当利益以及指定购物场所或安排另付费旅游项目的行为；是否存在组团社入</w:t>
            </w:r>
            <w:r>
              <w:rPr>
                <w:rFonts w:hint="eastAsia" w:ascii="宋体" w:hAnsi="宋体" w:eastAsia="宋体" w:cs="宋体"/>
                <w:b w:val="0"/>
                <w:bCs w:val="0"/>
                <w:spacing w:val="7"/>
                <w:sz w:val="18"/>
                <w:szCs w:val="18"/>
                <w:shd w:val="clear" w:color="auto" w:fill="auto"/>
              </w:rPr>
              <w:t>境旅游业绩下降，因自身原因在1年内未能正常开展出国旅游业务，以及违规开展出国旅游业务的行为；是否存在旅行社</w:t>
            </w:r>
            <w:r>
              <w:rPr>
                <w:rFonts w:hint="eastAsia" w:ascii="宋体" w:hAnsi="宋体" w:eastAsia="宋体" w:cs="宋体"/>
                <w:b w:val="0"/>
                <w:bCs w:val="0"/>
                <w:sz w:val="18"/>
                <w:szCs w:val="18"/>
                <w:shd w:val="clear" w:color="auto" w:fill="auto"/>
              </w:rPr>
              <w:t xml:space="preserve"> </w:t>
            </w:r>
            <w:r>
              <w:rPr>
                <w:rFonts w:hint="eastAsia" w:ascii="宋体" w:hAnsi="宋体" w:eastAsia="宋体" w:cs="宋体"/>
                <w:b w:val="0"/>
                <w:bCs w:val="0"/>
                <w:spacing w:val="8"/>
                <w:sz w:val="18"/>
                <w:szCs w:val="18"/>
                <w:shd w:val="clear" w:color="auto" w:fill="auto"/>
              </w:rPr>
              <w:t>组团社或者领队在境外接待社违反有关规定要求时未告诫、未制止的行为；是否存在旅行社</w:t>
            </w:r>
            <w:r>
              <w:rPr>
                <w:rFonts w:hint="eastAsia" w:ascii="宋体" w:hAnsi="宋体" w:eastAsia="宋体" w:cs="宋体"/>
                <w:b w:val="0"/>
                <w:bCs w:val="0"/>
                <w:spacing w:val="7"/>
                <w:sz w:val="18"/>
                <w:szCs w:val="18"/>
                <w:shd w:val="clear" w:color="auto" w:fill="auto"/>
              </w:rPr>
              <w:t>解除保险合同</w:t>
            </w:r>
            <w:r>
              <w:rPr>
                <w:rFonts w:hint="eastAsia" w:ascii="宋体" w:hAnsi="宋体" w:eastAsia="宋体" w:cs="宋体"/>
                <w:b w:val="0"/>
                <w:bCs w:val="0"/>
                <w:spacing w:val="8"/>
                <w:sz w:val="18"/>
                <w:szCs w:val="18"/>
                <w:shd w:val="clear" w:color="auto" w:fill="auto"/>
              </w:rPr>
              <w:t>但未同时订立新的保险合同，保险合同期满前未及时续保，或者人身伤</w:t>
            </w:r>
            <w:r>
              <w:rPr>
                <w:rFonts w:hint="eastAsia" w:ascii="宋体" w:hAnsi="宋体" w:eastAsia="宋体" w:cs="宋体"/>
                <w:b w:val="0"/>
                <w:bCs w:val="0"/>
                <w:spacing w:val="7"/>
                <w:sz w:val="18"/>
                <w:szCs w:val="18"/>
                <w:shd w:val="clear" w:color="auto" w:fill="auto"/>
              </w:rPr>
              <w:t>亡责任限额低于20万元人民币的行</w:t>
            </w:r>
            <w:r>
              <w:rPr>
                <w:rFonts w:hint="eastAsia" w:ascii="宋体" w:hAnsi="宋体" w:eastAsia="宋体" w:cs="宋体"/>
                <w:b w:val="0"/>
                <w:bCs w:val="0"/>
                <w:spacing w:val="-1"/>
                <w:sz w:val="18"/>
                <w:szCs w:val="18"/>
                <w:shd w:val="clear" w:color="auto" w:fill="auto"/>
              </w:rPr>
              <w:t>为。</w:t>
            </w:r>
          </w:p>
        </w:tc>
        <w:tc>
          <w:tcPr>
            <w:tcW w:w="2767" w:type="dxa"/>
            <w:vAlign w:val="center"/>
          </w:tcPr>
          <w:p>
            <w:pPr>
              <w:pStyle w:val="5"/>
              <w:spacing w:before="55" w:line="229" w:lineRule="auto"/>
              <w:ind w:right="6"/>
              <w:jc w:val="both"/>
              <w:rPr>
                <w:rFonts w:hint="eastAsia" w:ascii="宋体" w:hAnsi="宋体" w:eastAsia="宋体" w:cs="宋体"/>
                <w:b w:val="0"/>
                <w:bCs w:val="0"/>
                <w:sz w:val="18"/>
                <w:szCs w:val="18"/>
                <w:shd w:val="clear" w:color="auto" w:fill="auto"/>
              </w:rPr>
            </w:pPr>
            <w:r>
              <w:rPr>
                <w:rFonts w:hint="eastAsia" w:ascii="宋体" w:hAnsi="宋体" w:eastAsia="宋体" w:cs="宋体"/>
                <w:b w:val="0"/>
                <w:bCs w:val="0"/>
                <w:spacing w:val="6"/>
                <w:sz w:val="18"/>
                <w:szCs w:val="18"/>
                <w:shd w:val="clear" w:color="auto" w:fill="auto"/>
              </w:rPr>
              <w:t>《中华人民共和国旅游法》</w:t>
            </w:r>
            <w:r>
              <w:rPr>
                <w:rFonts w:hint="eastAsia" w:ascii="宋体" w:hAnsi="宋体" w:eastAsia="宋体" w:cs="宋体"/>
                <w:b w:val="0"/>
                <w:bCs w:val="0"/>
                <w:spacing w:val="4"/>
                <w:sz w:val="18"/>
                <w:szCs w:val="18"/>
                <w:shd w:val="clear" w:color="auto" w:fill="auto"/>
              </w:rPr>
              <w:t>第三十五条、第九十五条、第九十六条、第九十七条、</w:t>
            </w:r>
            <w:r>
              <w:rPr>
                <w:rFonts w:hint="eastAsia" w:ascii="宋体" w:hAnsi="宋体" w:eastAsia="宋体" w:cs="宋体"/>
                <w:b w:val="0"/>
                <w:bCs w:val="0"/>
                <w:spacing w:val="8"/>
                <w:sz w:val="18"/>
                <w:szCs w:val="18"/>
                <w:shd w:val="clear" w:color="auto" w:fill="auto"/>
              </w:rPr>
              <w:t xml:space="preserve"> </w:t>
            </w:r>
            <w:r>
              <w:rPr>
                <w:rFonts w:hint="eastAsia" w:ascii="宋体" w:hAnsi="宋体" w:eastAsia="宋体" w:cs="宋体"/>
                <w:b w:val="0"/>
                <w:bCs w:val="0"/>
                <w:spacing w:val="5"/>
                <w:sz w:val="18"/>
                <w:szCs w:val="18"/>
                <w:shd w:val="clear" w:color="auto" w:fill="auto"/>
              </w:rPr>
              <w:t>第九十八条、第一百条；《</w:t>
            </w:r>
            <w:r>
              <w:rPr>
                <w:rFonts w:hint="eastAsia" w:ascii="宋体" w:hAnsi="宋体" w:eastAsia="宋体" w:cs="宋体"/>
                <w:b w:val="0"/>
                <w:bCs w:val="0"/>
                <w:spacing w:val="9"/>
                <w:sz w:val="18"/>
                <w:szCs w:val="18"/>
                <w:shd w:val="clear" w:color="auto" w:fill="auto"/>
              </w:rPr>
              <w:t xml:space="preserve"> </w:t>
            </w:r>
            <w:r>
              <w:rPr>
                <w:rFonts w:hint="eastAsia" w:ascii="宋体" w:hAnsi="宋体" w:eastAsia="宋体" w:cs="宋体"/>
                <w:b w:val="0"/>
                <w:bCs w:val="0"/>
                <w:spacing w:val="4"/>
                <w:sz w:val="18"/>
                <w:szCs w:val="18"/>
                <w:shd w:val="clear" w:color="auto" w:fill="auto"/>
              </w:rPr>
              <w:t>旅行社条例》第四十六条、</w:t>
            </w:r>
            <w:r>
              <w:rPr>
                <w:rFonts w:hint="eastAsia" w:ascii="宋体" w:hAnsi="宋体" w:eastAsia="宋体" w:cs="宋体"/>
                <w:b w:val="0"/>
                <w:bCs w:val="0"/>
                <w:spacing w:val="8"/>
                <w:sz w:val="18"/>
                <w:szCs w:val="18"/>
                <w:shd w:val="clear" w:color="auto" w:fill="auto"/>
              </w:rPr>
              <w:t xml:space="preserve"> </w:t>
            </w:r>
            <w:r>
              <w:rPr>
                <w:rFonts w:hint="eastAsia" w:ascii="宋体" w:hAnsi="宋体" w:eastAsia="宋体" w:cs="宋体"/>
                <w:b w:val="0"/>
                <w:bCs w:val="0"/>
                <w:spacing w:val="4"/>
                <w:sz w:val="18"/>
                <w:szCs w:val="18"/>
                <w:shd w:val="clear" w:color="auto" w:fill="auto"/>
              </w:rPr>
              <w:t>第四十七条、第四十八条、</w:t>
            </w:r>
            <w:r>
              <w:rPr>
                <w:rFonts w:hint="eastAsia" w:ascii="宋体" w:hAnsi="宋体" w:eastAsia="宋体" w:cs="宋体"/>
                <w:b w:val="0"/>
                <w:bCs w:val="0"/>
                <w:spacing w:val="7"/>
                <w:sz w:val="18"/>
                <w:szCs w:val="18"/>
                <w:shd w:val="clear" w:color="auto" w:fill="auto"/>
              </w:rPr>
              <w:t>第五十条、第五十一条、第</w:t>
            </w:r>
            <w:r>
              <w:rPr>
                <w:rFonts w:hint="eastAsia" w:ascii="宋体" w:hAnsi="宋体" w:eastAsia="宋体" w:cs="宋体"/>
                <w:b w:val="0"/>
                <w:bCs w:val="0"/>
                <w:spacing w:val="3"/>
                <w:sz w:val="18"/>
                <w:szCs w:val="18"/>
                <w:shd w:val="clear" w:color="auto" w:fill="auto"/>
              </w:rPr>
              <w:t xml:space="preserve"> </w:t>
            </w:r>
            <w:r>
              <w:rPr>
                <w:rFonts w:hint="eastAsia" w:ascii="宋体" w:hAnsi="宋体" w:eastAsia="宋体" w:cs="宋体"/>
                <w:b w:val="0"/>
                <w:bCs w:val="0"/>
                <w:spacing w:val="7"/>
                <w:sz w:val="18"/>
                <w:szCs w:val="18"/>
                <w:shd w:val="clear" w:color="auto" w:fill="auto"/>
              </w:rPr>
              <w:t>五十二条、第五十四条、第</w:t>
            </w:r>
            <w:r>
              <w:rPr>
                <w:rFonts w:hint="eastAsia" w:ascii="宋体" w:hAnsi="宋体" w:eastAsia="宋体" w:cs="宋体"/>
                <w:b w:val="0"/>
                <w:bCs w:val="0"/>
                <w:spacing w:val="3"/>
                <w:sz w:val="18"/>
                <w:szCs w:val="18"/>
                <w:shd w:val="clear" w:color="auto" w:fill="auto"/>
              </w:rPr>
              <w:t xml:space="preserve"> </w:t>
            </w:r>
            <w:r>
              <w:rPr>
                <w:rFonts w:hint="eastAsia" w:ascii="宋体" w:hAnsi="宋体" w:eastAsia="宋体" w:cs="宋体"/>
                <w:b w:val="0"/>
                <w:bCs w:val="0"/>
                <w:spacing w:val="7"/>
                <w:sz w:val="18"/>
                <w:szCs w:val="18"/>
                <w:shd w:val="clear" w:color="auto" w:fill="auto"/>
              </w:rPr>
              <w:t>五十五条、第五十九条、第</w:t>
            </w:r>
            <w:r>
              <w:rPr>
                <w:rFonts w:hint="eastAsia" w:ascii="宋体" w:hAnsi="宋体" w:eastAsia="宋体" w:cs="宋体"/>
                <w:b w:val="0"/>
                <w:bCs w:val="0"/>
                <w:spacing w:val="3"/>
                <w:sz w:val="18"/>
                <w:szCs w:val="18"/>
                <w:shd w:val="clear" w:color="auto" w:fill="auto"/>
              </w:rPr>
              <w:t xml:space="preserve"> </w:t>
            </w:r>
            <w:r>
              <w:rPr>
                <w:rFonts w:hint="eastAsia" w:ascii="宋体" w:hAnsi="宋体" w:eastAsia="宋体" w:cs="宋体"/>
                <w:b w:val="0"/>
                <w:bCs w:val="0"/>
                <w:spacing w:val="5"/>
                <w:sz w:val="18"/>
                <w:szCs w:val="18"/>
                <w:shd w:val="clear" w:color="auto" w:fill="auto"/>
              </w:rPr>
              <w:t>六十二条、第六十三条；《</w:t>
            </w:r>
            <w:r>
              <w:rPr>
                <w:rFonts w:hint="eastAsia" w:ascii="宋体" w:hAnsi="宋体" w:eastAsia="宋体" w:cs="宋体"/>
                <w:b w:val="0"/>
                <w:bCs w:val="0"/>
                <w:spacing w:val="9"/>
                <w:sz w:val="18"/>
                <w:szCs w:val="18"/>
                <w:shd w:val="clear" w:color="auto" w:fill="auto"/>
              </w:rPr>
              <w:t xml:space="preserve"> </w:t>
            </w:r>
            <w:r>
              <w:rPr>
                <w:rFonts w:hint="eastAsia" w:ascii="宋体" w:hAnsi="宋体" w:eastAsia="宋体" w:cs="宋体"/>
                <w:b w:val="0"/>
                <w:bCs w:val="0"/>
                <w:spacing w:val="7"/>
                <w:sz w:val="18"/>
                <w:szCs w:val="18"/>
                <w:shd w:val="clear" w:color="auto" w:fill="auto"/>
              </w:rPr>
              <w:t>旅行社条例实施细则》第五</w:t>
            </w:r>
            <w:r>
              <w:rPr>
                <w:rFonts w:hint="eastAsia" w:ascii="宋体" w:hAnsi="宋体" w:eastAsia="宋体" w:cs="宋体"/>
                <w:b w:val="0"/>
                <w:bCs w:val="0"/>
                <w:spacing w:val="3"/>
                <w:sz w:val="18"/>
                <w:szCs w:val="18"/>
                <w:shd w:val="clear" w:color="auto" w:fill="auto"/>
              </w:rPr>
              <w:t xml:space="preserve"> </w:t>
            </w:r>
            <w:r>
              <w:rPr>
                <w:rFonts w:hint="eastAsia" w:ascii="宋体" w:hAnsi="宋体" w:eastAsia="宋体" w:cs="宋体"/>
                <w:b w:val="0"/>
                <w:bCs w:val="0"/>
                <w:spacing w:val="7"/>
                <w:sz w:val="18"/>
                <w:szCs w:val="18"/>
                <w:shd w:val="clear" w:color="auto" w:fill="auto"/>
              </w:rPr>
              <w:t>十一条、第五十三条、第五</w:t>
            </w:r>
            <w:r>
              <w:rPr>
                <w:rFonts w:hint="eastAsia" w:ascii="宋体" w:hAnsi="宋体" w:eastAsia="宋体" w:cs="宋体"/>
                <w:b w:val="0"/>
                <w:bCs w:val="0"/>
                <w:spacing w:val="3"/>
                <w:sz w:val="18"/>
                <w:szCs w:val="18"/>
                <w:shd w:val="clear" w:color="auto" w:fill="auto"/>
              </w:rPr>
              <w:t xml:space="preserve"> </w:t>
            </w:r>
            <w:r>
              <w:rPr>
                <w:rFonts w:hint="eastAsia" w:ascii="宋体" w:hAnsi="宋体" w:eastAsia="宋体" w:cs="宋体"/>
                <w:b w:val="0"/>
                <w:bCs w:val="0"/>
                <w:spacing w:val="7"/>
                <w:sz w:val="18"/>
                <w:szCs w:val="18"/>
                <w:shd w:val="clear" w:color="auto" w:fill="auto"/>
              </w:rPr>
              <w:t>十四条、第五十八条；《中</w:t>
            </w:r>
            <w:r>
              <w:rPr>
                <w:rFonts w:hint="eastAsia" w:ascii="宋体" w:hAnsi="宋体" w:eastAsia="宋体" w:cs="宋体"/>
                <w:b w:val="0"/>
                <w:bCs w:val="0"/>
                <w:spacing w:val="3"/>
                <w:sz w:val="18"/>
                <w:szCs w:val="18"/>
                <w:shd w:val="clear" w:color="auto" w:fill="auto"/>
              </w:rPr>
              <w:t xml:space="preserve"> </w:t>
            </w:r>
            <w:r>
              <w:rPr>
                <w:rFonts w:hint="eastAsia" w:ascii="宋体" w:hAnsi="宋体" w:eastAsia="宋体" w:cs="宋体"/>
                <w:b w:val="0"/>
                <w:bCs w:val="0"/>
                <w:spacing w:val="6"/>
                <w:sz w:val="18"/>
                <w:szCs w:val="18"/>
                <w:shd w:val="clear" w:color="auto" w:fill="auto"/>
              </w:rPr>
              <w:t>国公民出国旅游管理办法》</w:t>
            </w:r>
          </w:p>
          <w:p>
            <w:pPr>
              <w:pStyle w:val="5"/>
              <w:spacing w:before="7" w:line="233" w:lineRule="auto"/>
              <w:ind w:left="39" w:right="7"/>
              <w:jc w:val="center"/>
              <w:rPr>
                <w:rFonts w:hint="eastAsia" w:ascii="宋体" w:hAnsi="宋体" w:eastAsia="宋体" w:cs="宋体"/>
                <w:b w:val="0"/>
                <w:bCs w:val="0"/>
                <w:spacing w:val="6"/>
                <w:sz w:val="18"/>
                <w:szCs w:val="18"/>
                <w:shd w:val="clear" w:color="auto" w:fill="auto"/>
              </w:rPr>
            </w:pPr>
            <w:r>
              <w:rPr>
                <w:rFonts w:hint="eastAsia" w:ascii="宋体" w:hAnsi="宋体" w:eastAsia="宋体" w:cs="宋体"/>
                <w:b w:val="0"/>
                <w:bCs w:val="0"/>
                <w:spacing w:val="6"/>
                <w:sz w:val="18"/>
                <w:szCs w:val="18"/>
                <w:shd w:val="clear" w:color="auto" w:fill="auto"/>
              </w:rPr>
              <w:t>第二十五条、第三十条；《旅行</w:t>
            </w:r>
          </w:p>
          <w:p>
            <w:pPr>
              <w:pStyle w:val="5"/>
              <w:spacing w:before="7" w:line="233" w:lineRule="auto"/>
              <w:ind w:right="7"/>
              <w:jc w:val="both"/>
              <w:rPr>
                <w:rFonts w:hint="eastAsia" w:ascii="宋体" w:hAnsi="宋体" w:eastAsia="宋体" w:cs="宋体"/>
                <w:b w:val="0"/>
                <w:bCs w:val="0"/>
                <w:sz w:val="18"/>
                <w:szCs w:val="18"/>
                <w:shd w:val="clear" w:color="auto" w:fill="auto"/>
              </w:rPr>
            </w:pPr>
            <w:r>
              <w:rPr>
                <w:rFonts w:hint="eastAsia" w:ascii="宋体" w:hAnsi="宋体" w:eastAsia="宋体" w:cs="宋体"/>
                <w:b w:val="0"/>
                <w:bCs w:val="0"/>
                <w:spacing w:val="6"/>
                <w:sz w:val="18"/>
                <w:szCs w:val="18"/>
                <w:shd w:val="clear" w:color="auto" w:fill="auto"/>
              </w:rPr>
              <w:t>社责任保险管理办法》</w:t>
            </w:r>
          </w:p>
          <w:p>
            <w:pPr>
              <w:pStyle w:val="5"/>
              <w:spacing w:before="124" w:line="88" w:lineRule="exact"/>
              <w:ind w:left="58" w:leftChars="0"/>
              <w:jc w:val="center"/>
              <w:rPr>
                <w:spacing w:val="-9"/>
              </w:rPr>
            </w:pPr>
            <w:r>
              <w:rPr>
                <w:rFonts w:hint="eastAsia" w:ascii="宋体" w:hAnsi="宋体" w:eastAsia="宋体" w:cs="宋体"/>
                <w:b w:val="0"/>
                <w:bCs w:val="0"/>
                <w:spacing w:val="-2"/>
                <w:position w:val="1"/>
                <w:sz w:val="18"/>
                <w:szCs w:val="18"/>
                <w:shd w:val="clear" w:color="auto" w:fill="auto"/>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23" w:hRule="atLeast"/>
        </w:trPr>
        <w:tc>
          <w:tcPr>
            <w:tcW w:w="624" w:type="dxa"/>
            <w:vAlign w:val="center"/>
          </w:tcPr>
          <w:p>
            <w:pPr>
              <w:pStyle w:val="5"/>
              <w:spacing w:before="56" w:line="229" w:lineRule="exact"/>
              <w:jc w:val="center"/>
              <w:rPr>
                <w:color w:val="405050"/>
              </w:rPr>
            </w:pPr>
            <w:r>
              <w:rPr>
                <w:rFonts w:hint="eastAsia" w:ascii="宋体" w:hAnsi="宋体" w:eastAsia="宋体" w:cs="宋体"/>
                <w:b w:val="0"/>
                <w:bCs w:val="0"/>
                <w:spacing w:val="-2"/>
                <w:position w:val="1"/>
                <w:sz w:val="18"/>
                <w:szCs w:val="18"/>
                <w:shd w:val="clear" w:color="auto" w:fill="auto"/>
              </w:rPr>
              <w:t>7</w:t>
            </w:r>
          </w:p>
        </w:tc>
        <w:tc>
          <w:tcPr>
            <w:tcW w:w="1778" w:type="dxa"/>
            <w:vAlign w:val="center"/>
          </w:tcPr>
          <w:p>
            <w:pPr>
              <w:pStyle w:val="5"/>
              <w:spacing w:before="55" w:line="238" w:lineRule="auto"/>
              <w:ind w:right="21" w:rightChars="0"/>
              <w:jc w:val="both"/>
              <w:rPr>
                <w:spacing w:val="2"/>
              </w:rPr>
            </w:pPr>
            <w:r>
              <w:rPr>
                <w:rFonts w:hint="eastAsia" w:ascii="宋体" w:hAnsi="宋体" w:eastAsia="宋体" w:cs="宋体"/>
                <w:b w:val="0"/>
                <w:bCs w:val="0"/>
                <w:spacing w:val="7"/>
                <w:sz w:val="18"/>
                <w:szCs w:val="18"/>
                <w:shd w:val="clear" w:color="auto" w:fill="auto"/>
              </w:rPr>
              <w:t>对旅游从业者</w:t>
            </w:r>
            <w:r>
              <w:rPr>
                <w:rFonts w:hint="eastAsia" w:ascii="宋体" w:hAnsi="宋体" w:eastAsia="宋体" w:cs="宋体"/>
                <w:b w:val="0"/>
                <w:bCs w:val="0"/>
                <w:spacing w:val="3"/>
                <w:sz w:val="18"/>
                <w:szCs w:val="18"/>
                <w:shd w:val="clear" w:color="auto" w:fill="auto"/>
              </w:rPr>
              <w:t>的监督检查</w:t>
            </w:r>
          </w:p>
        </w:tc>
        <w:tc>
          <w:tcPr>
            <w:tcW w:w="1950" w:type="dxa"/>
            <w:vAlign w:val="center"/>
          </w:tcPr>
          <w:p>
            <w:pPr>
              <w:pStyle w:val="5"/>
              <w:spacing w:before="56" w:line="230" w:lineRule="auto"/>
              <w:jc w:val="both"/>
              <w:rPr>
                <w:spacing w:val="-2"/>
              </w:rPr>
            </w:pPr>
            <w:r>
              <w:rPr>
                <w:rFonts w:hint="eastAsia" w:ascii="宋体" w:hAnsi="宋体" w:eastAsia="宋体" w:cs="宋体"/>
                <w:b w:val="0"/>
                <w:bCs w:val="0"/>
                <w:spacing w:val="5"/>
                <w:sz w:val="18"/>
                <w:szCs w:val="18"/>
                <w:shd w:val="clear" w:color="auto" w:fill="auto"/>
              </w:rPr>
              <w:t>导游、领队</w:t>
            </w:r>
          </w:p>
        </w:tc>
        <w:tc>
          <w:tcPr>
            <w:tcW w:w="7210" w:type="dxa"/>
            <w:vAlign w:val="center"/>
          </w:tcPr>
          <w:p>
            <w:pPr>
              <w:pStyle w:val="5"/>
              <w:spacing w:before="200" w:line="229" w:lineRule="auto"/>
              <w:jc w:val="both"/>
            </w:pPr>
            <w:r>
              <w:rPr>
                <w:rFonts w:hint="eastAsia" w:ascii="宋体" w:hAnsi="宋体" w:eastAsia="宋体" w:cs="宋体"/>
                <w:b w:val="0"/>
                <w:bCs w:val="0"/>
                <w:spacing w:val="8"/>
                <w:sz w:val="18"/>
                <w:szCs w:val="18"/>
                <w:shd w:val="clear" w:color="auto" w:fill="auto"/>
              </w:rPr>
              <w:t>是否存在未取得导游证或者领队证从事导游、领队活动的行为；是否导游、领队违规私自承揽业</w:t>
            </w:r>
            <w:r>
              <w:rPr>
                <w:rFonts w:hint="eastAsia" w:ascii="宋体" w:hAnsi="宋体" w:eastAsia="宋体" w:cs="宋体"/>
                <w:b w:val="0"/>
                <w:bCs w:val="0"/>
                <w:spacing w:val="7"/>
                <w:sz w:val="18"/>
                <w:szCs w:val="18"/>
                <w:shd w:val="clear" w:color="auto" w:fill="auto"/>
              </w:rPr>
              <w:t>务的行</w:t>
            </w:r>
            <w:r>
              <w:rPr>
                <w:rFonts w:hint="eastAsia" w:ascii="宋体" w:hAnsi="宋体" w:eastAsia="宋体" w:cs="宋体"/>
                <w:b w:val="0"/>
                <w:bCs w:val="0"/>
                <w:spacing w:val="8"/>
                <w:sz w:val="18"/>
                <w:szCs w:val="18"/>
                <w:shd w:val="clear" w:color="auto" w:fill="auto"/>
              </w:rPr>
              <w:t>为；是否导游、领队违规向旅游者索取小费的行为；是否存导游人员进行导游活动时，有损害国家利益和</w:t>
            </w:r>
            <w:r>
              <w:rPr>
                <w:rFonts w:hint="eastAsia" w:ascii="宋体" w:hAnsi="宋体" w:eastAsia="宋体" w:cs="宋体"/>
                <w:b w:val="0"/>
                <w:bCs w:val="0"/>
                <w:sz w:val="18"/>
                <w:szCs w:val="18"/>
                <w:shd w:val="clear" w:color="auto" w:fill="auto"/>
              </w:rPr>
              <w:t xml:space="preserve"> </w:t>
            </w:r>
            <w:r>
              <w:rPr>
                <w:rFonts w:hint="eastAsia" w:ascii="宋体" w:hAnsi="宋体" w:eastAsia="宋体" w:cs="宋体"/>
                <w:b w:val="0"/>
                <w:bCs w:val="0"/>
                <w:spacing w:val="8"/>
                <w:sz w:val="18"/>
                <w:szCs w:val="18"/>
                <w:shd w:val="clear" w:color="auto" w:fill="auto"/>
              </w:rPr>
              <w:t>民族尊严的言行的行为；是否存导游人员进行导游活动时未佩戴导游证的行为；是否存导游人员擅自变动</w:t>
            </w:r>
            <w:r>
              <w:rPr>
                <w:rFonts w:hint="eastAsia" w:ascii="宋体" w:hAnsi="宋体" w:eastAsia="宋体" w:cs="宋体"/>
                <w:b w:val="0"/>
                <w:bCs w:val="0"/>
                <w:spacing w:val="2"/>
                <w:sz w:val="18"/>
                <w:szCs w:val="18"/>
                <w:shd w:val="clear" w:color="auto" w:fill="auto"/>
              </w:rPr>
              <w:t xml:space="preserve"> </w:t>
            </w:r>
            <w:r>
              <w:rPr>
                <w:rFonts w:hint="eastAsia" w:ascii="宋体" w:hAnsi="宋体" w:eastAsia="宋体" w:cs="宋体"/>
                <w:b w:val="0"/>
                <w:bCs w:val="0"/>
                <w:spacing w:val="8"/>
                <w:sz w:val="18"/>
                <w:szCs w:val="18"/>
                <w:shd w:val="clear" w:color="auto" w:fill="auto"/>
              </w:rPr>
              <w:t>旅游项目、接待计划、中止导游活动的处罚的行为；是否存在导游人员向旅游者兜售旅游物品或者购买旅</w:t>
            </w:r>
            <w:r>
              <w:rPr>
                <w:rFonts w:hint="eastAsia" w:ascii="宋体" w:hAnsi="宋体" w:eastAsia="宋体" w:cs="宋体"/>
                <w:b w:val="0"/>
                <w:bCs w:val="0"/>
                <w:spacing w:val="2"/>
                <w:sz w:val="18"/>
                <w:szCs w:val="18"/>
                <w:shd w:val="clear" w:color="auto" w:fill="auto"/>
              </w:rPr>
              <w:t xml:space="preserve"> </w:t>
            </w:r>
            <w:r>
              <w:rPr>
                <w:rFonts w:hint="eastAsia" w:ascii="宋体" w:hAnsi="宋体" w:eastAsia="宋体" w:cs="宋体"/>
                <w:b w:val="0"/>
                <w:bCs w:val="0"/>
                <w:spacing w:val="8"/>
                <w:sz w:val="18"/>
                <w:szCs w:val="18"/>
                <w:shd w:val="clear" w:color="auto" w:fill="auto"/>
              </w:rPr>
              <w:t>游者的物品的行为；是否存在导游人员进行导游活动，欺骗、胁迫旅游者消费或者与经营者串通欺骗、胁迫旅游者消费的行为；是否存领队与境外接待社、导游及有关其他经营者串通欺骗、胁迫旅游者消费或者</w:t>
            </w:r>
            <w:bookmarkStart w:id="0" w:name="_GoBack"/>
            <w:bookmarkEnd w:id="0"/>
            <w:r>
              <w:rPr>
                <w:rFonts w:hint="eastAsia" w:ascii="宋体" w:hAnsi="宋体" w:eastAsia="宋体" w:cs="宋体"/>
                <w:b w:val="0"/>
                <w:bCs w:val="0"/>
                <w:spacing w:val="7"/>
                <w:sz w:val="18"/>
                <w:szCs w:val="18"/>
                <w:shd w:val="clear" w:color="auto" w:fill="auto"/>
              </w:rPr>
              <w:t>索要回扣、提成或者收受其财物的行为。</w:t>
            </w:r>
          </w:p>
        </w:tc>
        <w:tc>
          <w:tcPr>
            <w:tcW w:w="2767" w:type="dxa"/>
            <w:vAlign w:val="center"/>
          </w:tcPr>
          <w:p>
            <w:pPr>
              <w:pStyle w:val="5"/>
              <w:spacing w:before="200" w:line="238" w:lineRule="auto"/>
              <w:jc w:val="both"/>
              <w:rPr>
                <w:spacing w:val="-9"/>
              </w:rPr>
            </w:pPr>
            <w:r>
              <w:rPr>
                <w:rFonts w:hint="eastAsia" w:ascii="宋体" w:hAnsi="宋体" w:eastAsia="宋体" w:cs="宋体"/>
                <w:b w:val="0"/>
                <w:bCs w:val="0"/>
                <w:spacing w:val="5"/>
                <w:sz w:val="18"/>
                <w:szCs w:val="18"/>
                <w:shd w:val="clear" w:color="auto" w:fill="auto"/>
              </w:rPr>
              <w:t>《中华人民共和国旅游法》</w:t>
            </w:r>
            <w:r>
              <w:rPr>
                <w:rFonts w:hint="eastAsia" w:ascii="宋体" w:hAnsi="宋体" w:eastAsia="宋体" w:cs="宋体"/>
                <w:b w:val="0"/>
                <w:bCs w:val="0"/>
                <w:spacing w:val="7"/>
                <w:sz w:val="18"/>
                <w:szCs w:val="18"/>
                <w:shd w:val="clear" w:color="auto" w:fill="auto"/>
              </w:rPr>
              <w:t>第一百零二条；《导游人员管理条例》第二十条、第二十一条、第二十二条、第二十三条、第二十四条；《中</w:t>
            </w:r>
            <w:r>
              <w:rPr>
                <w:rFonts w:hint="eastAsia" w:ascii="宋体" w:hAnsi="宋体" w:eastAsia="宋体" w:cs="宋体"/>
                <w:b w:val="0"/>
                <w:bCs w:val="0"/>
                <w:spacing w:val="6"/>
                <w:sz w:val="18"/>
                <w:szCs w:val="18"/>
                <w:shd w:val="clear" w:color="auto" w:fill="auto"/>
              </w:rPr>
              <w:t>国公民出国旅游管理办法》</w:t>
            </w:r>
            <w:r>
              <w:rPr>
                <w:rFonts w:hint="eastAsia" w:ascii="宋体" w:hAnsi="宋体" w:eastAsia="宋体" w:cs="宋体"/>
                <w:b w:val="0"/>
                <w:bCs w:val="0"/>
                <w:spacing w:val="3"/>
                <w:sz w:val="18"/>
                <w:szCs w:val="18"/>
                <w:shd w:val="clear" w:color="auto" w:fill="auto"/>
              </w:rPr>
              <w:t xml:space="preserve"> </w:t>
            </w:r>
            <w:r>
              <w:rPr>
                <w:rFonts w:hint="eastAsia" w:ascii="宋体" w:hAnsi="宋体" w:eastAsia="宋体" w:cs="宋体"/>
                <w:b w:val="0"/>
                <w:bCs w:val="0"/>
                <w:spacing w:val="5"/>
                <w:sz w:val="18"/>
                <w:szCs w:val="18"/>
                <w:shd w:val="clear" w:color="auto" w:fill="auto"/>
              </w:rPr>
              <w:t>第三十一条。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85" w:hRule="atLeast"/>
        </w:trPr>
        <w:tc>
          <w:tcPr>
            <w:tcW w:w="624" w:type="dxa"/>
            <w:vAlign w:val="center"/>
          </w:tcPr>
          <w:p>
            <w:pPr>
              <w:pStyle w:val="5"/>
              <w:spacing w:before="56" w:line="229" w:lineRule="exact"/>
              <w:jc w:val="center"/>
              <w:rPr>
                <w:color w:val="405050"/>
              </w:rPr>
            </w:pPr>
            <w:r>
              <w:rPr>
                <w:rFonts w:hint="eastAsia" w:ascii="宋体" w:hAnsi="宋体" w:eastAsia="宋体" w:cs="宋体"/>
                <w:b w:val="0"/>
                <w:bCs w:val="0"/>
                <w:spacing w:val="-2"/>
                <w:position w:val="1"/>
                <w:sz w:val="18"/>
                <w:szCs w:val="18"/>
                <w:shd w:val="clear" w:color="auto" w:fill="auto"/>
              </w:rPr>
              <w:t>8</w:t>
            </w:r>
          </w:p>
        </w:tc>
        <w:tc>
          <w:tcPr>
            <w:tcW w:w="1778" w:type="dxa"/>
            <w:vAlign w:val="center"/>
          </w:tcPr>
          <w:p>
            <w:pPr>
              <w:pStyle w:val="5"/>
              <w:spacing w:before="55" w:line="230" w:lineRule="auto"/>
              <w:jc w:val="both"/>
              <w:rPr>
                <w:spacing w:val="2"/>
              </w:rPr>
            </w:pPr>
            <w:r>
              <w:rPr>
                <w:rFonts w:hint="eastAsia" w:ascii="宋体" w:hAnsi="宋体" w:eastAsia="宋体" w:cs="宋体"/>
                <w:b w:val="0"/>
                <w:bCs w:val="0"/>
                <w:spacing w:val="7"/>
                <w:sz w:val="18"/>
                <w:szCs w:val="18"/>
                <w:shd w:val="clear" w:color="auto" w:fill="auto"/>
              </w:rPr>
              <w:t>对在线旅游平</w:t>
            </w:r>
            <w:r>
              <w:rPr>
                <w:rFonts w:hint="eastAsia" w:ascii="宋体" w:hAnsi="宋体" w:eastAsia="宋体" w:cs="宋体"/>
                <w:b w:val="0"/>
                <w:bCs w:val="0"/>
                <w:spacing w:val="4"/>
                <w:sz w:val="18"/>
                <w:szCs w:val="18"/>
                <w:shd w:val="clear" w:color="auto" w:fill="auto"/>
              </w:rPr>
              <w:t>台的行政检查</w:t>
            </w:r>
          </w:p>
        </w:tc>
        <w:tc>
          <w:tcPr>
            <w:tcW w:w="1950" w:type="dxa"/>
            <w:vAlign w:val="center"/>
          </w:tcPr>
          <w:p>
            <w:pPr>
              <w:pStyle w:val="5"/>
              <w:spacing w:before="55" w:line="238" w:lineRule="auto"/>
              <w:ind w:right="14" w:rightChars="0"/>
              <w:jc w:val="both"/>
              <w:rPr>
                <w:spacing w:val="-2"/>
              </w:rPr>
            </w:pPr>
            <w:r>
              <w:rPr>
                <w:rFonts w:hint="eastAsia" w:ascii="宋体" w:hAnsi="宋体" w:eastAsia="宋体" w:cs="宋体"/>
                <w:b w:val="0"/>
                <w:bCs w:val="0"/>
                <w:spacing w:val="4"/>
                <w:sz w:val="18"/>
                <w:szCs w:val="18"/>
                <w:shd w:val="clear" w:color="auto" w:fill="auto"/>
              </w:rPr>
              <w:t>在线旅游平台经营者</w:t>
            </w:r>
            <w:r>
              <w:rPr>
                <w:rFonts w:hint="eastAsia" w:cs="宋体"/>
                <w:b w:val="0"/>
                <w:bCs w:val="0"/>
                <w:spacing w:val="4"/>
                <w:sz w:val="18"/>
                <w:szCs w:val="18"/>
                <w:shd w:val="clear" w:color="auto" w:fill="auto"/>
                <w:lang w:eastAsia="zh-CN"/>
              </w:rPr>
              <w:t>、</w:t>
            </w:r>
            <w:r>
              <w:rPr>
                <w:rFonts w:hint="eastAsia" w:ascii="宋体" w:hAnsi="宋体" w:eastAsia="宋体" w:cs="宋体"/>
                <w:b w:val="0"/>
                <w:bCs w:val="0"/>
                <w:spacing w:val="7"/>
                <w:sz w:val="18"/>
                <w:szCs w:val="18"/>
                <w:shd w:val="clear" w:color="auto" w:fill="auto"/>
              </w:rPr>
              <w:t>在线旅游平台旅游产品</w:t>
            </w:r>
          </w:p>
        </w:tc>
        <w:tc>
          <w:tcPr>
            <w:tcW w:w="7210" w:type="dxa"/>
            <w:vAlign w:val="center"/>
          </w:tcPr>
          <w:p>
            <w:pPr>
              <w:pStyle w:val="5"/>
              <w:spacing w:before="55" w:line="239" w:lineRule="auto"/>
              <w:ind w:right="82" w:rightChars="0"/>
              <w:jc w:val="both"/>
            </w:pPr>
            <w:r>
              <w:rPr>
                <w:rFonts w:hint="eastAsia" w:ascii="宋体" w:hAnsi="宋体" w:eastAsia="宋体" w:cs="宋体"/>
                <w:b w:val="0"/>
                <w:bCs w:val="0"/>
                <w:spacing w:val="8"/>
                <w:sz w:val="18"/>
                <w:szCs w:val="18"/>
                <w:shd w:val="clear" w:color="auto" w:fill="auto"/>
              </w:rPr>
              <w:t>平台经营者是否对平台内经营者的身份、地址、联系方式、行政许可、质量标准等级、信用等级等信息进</w:t>
            </w:r>
            <w:r>
              <w:rPr>
                <w:rFonts w:hint="eastAsia" w:ascii="宋体" w:hAnsi="宋体" w:eastAsia="宋体" w:cs="宋体"/>
                <w:b w:val="0"/>
                <w:bCs w:val="0"/>
                <w:spacing w:val="2"/>
                <w:sz w:val="18"/>
                <w:szCs w:val="18"/>
                <w:shd w:val="clear" w:color="auto" w:fill="auto"/>
              </w:rPr>
              <w:t xml:space="preserve"> </w:t>
            </w:r>
            <w:r>
              <w:rPr>
                <w:rFonts w:hint="eastAsia" w:ascii="宋体" w:hAnsi="宋体" w:eastAsia="宋体" w:cs="宋体"/>
                <w:b w:val="0"/>
                <w:bCs w:val="0"/>
                <w:spacing w:val="8"/>
                <w:sz w:val="18"/>
                <w:szCs w:val="18"/>
                <w:shd w:val="clear" w:color="auto" w:fill="auto"/>
              </w:rPr>
              <w:t>行真实性核验、登记，建立登记档案，并定期核验更新；平台经营者是否对平台内经营者服务情况、旅游合同履行情况以及投诉处理情况等产品和服务信息、交易信息依法进行记录、保存，进行动态管理</w:t>
            </w:r>
          </w:p>
        </w:tc>
        <w:tc>
          <w:tcPr>
            <w:tcW w:w="2767" w:type="dxa"/>
            <w:vAlign w:val="center"/>
          </w:tcPr>
          <w:p>
            <w:pPr>
              <w:pStyle w:val="5"/>
              <w:spacing w:before="55" w:line="239" w:lineRule="auto"/>
              <w:jc w:val="both"/>
              <w:rPr>
                <w:spacing w:val="-9"/>
              </w:rPr>
            </w:pPr>
            <w:r>
              <w:rPr>
                <w:rFonts w:hint="eastAsia" w:ascii="宋体" w:hAnsi="宋体" w:eastAsia="宋体" w:cs="宋体"/>
                <w:b w:val="0"/>
                <w:bCs w:val="0"/>
                <w:spacing w:val="6"/>
                <w:sz w:val="18"/>
                <w:szCs w:val="18"/>
                <w:shd w:val="clear" w:color="auto" w:fill="auto"/>
              </w:rPr>
              <w:t>《在线旅游经营服务管理暂</w:t>
            </w:r>
            <w:r>
              <w:rPr>
                <w:rFonts w:hint="eastAsia" w:ascii="宋体" w:hAnsi="宋体" w:eastAsia="宋体" w:cs="宋体"/>
                <w:b w:val="0"/>
                <w:bCs w:val="0"/>
                <w:spacing w:val="7"/>
                <w:sz w:val="18"/>
                <w:szCs w:val="18"/>
                <w:shd w:val="clear" w:color="auto" w:fill="auto"/>
              </w:rPr>
              <w:t>行规定》第十一条、第十九</w:t>
            </w:r>
            <w:r>
              <w:rPr>
                <w:rFonts w:hint="eastAsia" w:ascii="宋体" w:hAnsi="宋体" w:eastAsia="宋体" w:cs="宋体"/>
                <w:b w:val="0"/>
                <w:bCs w:val="0"/>
                <w:spacing w:val="-2"/>
                <w:sz w:val="18"/>
                <w:szCs w:val="18"/>
                <w:shd w:val="clear" w:color="auto" w:fill="auto"/>
              </w:rPr>
              <w:t>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23" w:hRule="atLeast"/>
        </w:trPr>
        <w:tc>
          <w:tcPr>
            <w:tcW w:w="624" w:type="dxa"/>
            <w:vAlign w:val="center"/>
          </w:tcPr>
          <w:p>
            <w:pPr>
              <w:pStyle w:val="5"/>
              <w:keepNext w:val="0"/>
              <w:keepLines w:val="0"/>
              <w:pageBreakBefore w:val="0"/>
              <w:widowControl/>
              <w:kinsoku w:val="0"/>
              <w:wordWrap/>
              <w:overflowPunct/>
              <w:topLinePunct w:val="0"/>
              <w:autoSpaceDE w:val="0"/>
              <w:autoSpaceDN w:val="0"/>
              <w:bidi w:val="0"/>
              <w:adjustRightInd w:val="0"/>
              <w:snapToGrid w:val="0"/>
              <w:spacing w:before="56" w:line="229" w:lineRule="exact"/>
              <w:jc w:val="center"/>
              <w:textAlignment w:val="baseline"/>
              <w:rPr>
                <w:rFonts w:hint="eastAsia" w:ascii="宋体" w:hAnsi="宋体" w:eastAsia="宋体" w:cs="宋体"/>
                <w:b w:val="0"/>
                <w:bCs w:val="0"/>
                <w:spacing w:val="-2"/>
                <w:position w:val="1"/>
                <w:sz w:val="18"/>
                <w:szCs w:val="18"/>
                <w:shd w:val="clear" w:color="auto" w:fill="auto"/>
                <w:lang w:val="en-US" w:eastAsia="zh-CN"/>
              </w:rPr>
            </w:pPr>
            <w:r>
              <w:rPr>
                <w:rFonts w:hint="eastAsia" w:cs="宋体"/>
                <w:b w:val="0"/>
                <w:bCs w:val="0"/>
                <w:spacing w:val="-2"/>
                <w:position w:val="1"/>
                <w:sz w:val="18"/>
                <w:szCs w:val="18"/>
                <w:shd w:val="clear" w:color="auto" w:fill="auto"/>
                <w:lang w:val="en-US" w:eastAsia="zh-CN"/>
              </w:rPr>
              <w:t>9</w:t>
            </w:r>
          </w:p>
        </w:tc>
        <w:tc>
          <w:tcPr>
            <w:tcW w:w="1778" w:type="dxa"/>
            <w:vAlign w:val="center"/>
          </w:tcPr>
          <w:p>
            <w:pPr>
              <w:pStyle w:val="5"/>
              <w:keepNext w:val="0"/>
              <w:keepLines w:val="0"/>
              <w:pageBreakBefore w:val="0"/>
              <w:widowControl/>
              <w:kinsoku w:val="0"/>
              <w:wordWrap/>
              <w:overflowPunct/>
              <w:topLinePunct w:val="0"/>
              <w:autoSpaceDE w:val="0"/>
              <w:autoSpaceDN w:val="0"/>
              <w:bidi w:val="0"/>
              <w:adjustRightInd w:val="0"/>
              <w:snapToGrid w:val="0"/>
              <w:spacing w:before="6" w:line="229" w:lineRule="auto"/>
              <w:jc w:val="both"/>
              <w:textAlignment w:val="baseline"/>
              <w:rPr>
                <w:rFonts w:hint="eastAsia" w:ascii="宋体" w:hAnsi="宋体" w:eastAsia="宋体" w:cs="宋体"/>
                <w:b w:val="0"/>
                <w:bCs w:val="0"/>
                <w:spacing w:val="4"/>
                <w:sz w:val="18"/>
                <w:szCs w:val="18"/>
                <w:shd w:val="clear" w:color="auto" w:fill="auto"/>
              </w:rPr>
            </w:pPr>
            <w:r>
              <w:rPr>
                <w:rFonts w:hint="eastAsia" w:ascii="宋体" w:hAnsi="宋体" w:eastAsia="宋体" w:cs="宋体"/>
                <w:b w:val="0"/>
                <w:bCs w:val="0"/>
                <w:spacing w:val="4"/>
                <w:sz w:val="18"/>
                <w:szCs w:val="18"/>
                <w:shd w:val="clear" w:color="auto" w:fill="auto"/>
              </w:rPr>
              <w:t>对从事高危险性体育项目经营场所的行政检查</w:t>
            </w:r>
          </w:p>
        </w:tc>
        <w:tc>
          <w:tcPr>
            <w:tcW w:w="1950" w:type="dxa"/>
            <w:vAlign w:val="center"/>
          </w:tcPr>
          <w:p>
            <w:pPr>
              <w:pStyle w:val="5"/>
              <w:spacing w:before="55" w:line="238" w:lineRule="auto"/>
              <w:ind w:right="14" w:rightChars="0"/>
              <w:jc w:val="both"/>
              <w:rPr>
                <w:rFonts w:hint="eastAsia" w:ascii="宋体" w:hAnsi="宋体" w:eastAsia="宋体" w:cs="宋体"/>
                <w:b w:val="0"/>
                <w:bCs w:val="0"/>
                <w:spacing w:val="4"/>
                <w:sz w:val="18"/>
                <w:szCs w:val="18"/>
                <w:shd w:val="clear" w:color="auto" w:fill="auto"/>
              </w:rPr>
            </w:pPr>
            <w:r>
              <w:rPr>
                <w:rFonts w:hint="eastAsia" w:ascii="宋体" w:hAnsi="宋体" w:eastAsia="宋体" w:cs="宋体"/>
                <w:b w:val="0"/>
                <w:bCs w:val="0"/>
                <w:spacing w:val="4"/>
                <w:sz w:val="18"/>
                <w:szCs w:val="18"/>
                <w:shd w:val="clear" w:color="auto" w:fill="auto"/>
              </w:rPr>
              <w:t>高危险性体育项目经营者</w:t>
            </w:r>
          </w:p>
        </w:tc>
        <w:tc>
          <w:tcPr>
            <w:tcW w:w="7210" w:type="dxa"/>
            <w:vAlign w:val="center"/>
          </w:tcPr>
          <w:p>
            <w:pPr>
              <w:pStyle w:val="5"/>
              <w:spacing w:before="55" w:line="239" w:lineRule="auto"/>
              <w:ind w:right="82" w:rightChars="0"/>
              <w:jc w:val="both"/>
              <w:rPr>
                <w:rFonts w:hint="eastAsia" w:ascii="宋体" w:hAnsi="宋体" w:eastAsia="宋体" w:cs="宋体"/>
                <w:b w:val="0"/>
                <w:bCs w:val="0"/>
                <w:spacing w:val="8"/>
                <w:sz w:val="18"/>
                <w:szCs w:val="18"/>
                <w:shd w:val="clear" w:color="auto" w:fill="auto"/>
              </w:rPr>
            </w:pPr>
            <w:r>
              <w:rPr>
                <w:rFonts w:hint="eastAsia" w:ascii="宋体" w:hAnsi="宋体" w:eastAsia="宋体" w:cs="宋体"/>
                <w:b w:val="0"/>
                <w:bCs w:val="0"/>
                <w:spacing w:val="8"/>
                <w:sz w:val="18"/>
                <w:szCs w:val="18"/>
                <w:shd w:val="clear" w:color="auto" w:fill="auto"/>
              </w:rPr>
              <w:t>1.行政许可情况：检查经营者是否依法取得《高危险性体育项目经营许可证》，并在经营场所醒目位置悬挂，许可证载明事项是否与实际情况一致，是否存在涂改、倒卖、出租、出借许可证等行为。2.设施设备安全：检查相关体育设施是否符合国家标准，是否按照相关规定做好体育设施、设备、器材的维护保养及定期检测，保证其能够安全、正常使用。3.人员配备与资质：检查社会体育指导人员和救助人员是否达到规定数量，是否取得国家职业资格证书，经营期间是否具有不低于规定数量的社会体育指导人员和救助人员，相关人员是否持证上岗，并佩戴能标明其身份的醒目标识。4.安全保障制度：检查是否具有安全生产岗位责任制、安全操作规程、突发事件应急预案、体育设施设备器材安全检查制度等安全保障制度和措施，是否将这些制度张贴于经营场所的醒目位置。5.消费者权益保护：检查是否就高危险性体育项目可能危及消费者安全的事项和对参与者年龄、身体、技术的特殊要求，在经营场所中做出真实说明和明确警示，是否依法投保体育意外伤害保险和场所责任保险。</w:t>
            </w:r>
          </w:p>
        </w:tc>
        <w:tc>
          <w:tcPr>
            <w:tcW w:w="2767" w:type="dxa"/>
            <w:vAlign w:val="center"/>
          </w:tcPr>
          <w:p>
            <w:pPr>
              <w:pStyle w:val="5"/>
              <w:spacing w:before="55" w:line="239" w:lineRule="auto"/>
              <w:jc w:val="both"/>
              <w:rPr>
                <w:rFonts w:hint="eastAsia" w:ascii="宋体" w:hAnsi="宋体" w:eastAsia="宋体" w:cs="宋体"/>
                <w:b w:val="0"/>
                <w:bCs w:val="0"/>
                <w:spacing w:val="6"/>
                <w:sz w:val="18"/>
                <w:szCs w:val="18"/>
                <w:shd w:val="clear" w:color="auto" w:fill="auto"/>
                <w:lang w:val="en-US" w:eastAsia="zh-CN"/>
              </w:rPr>
            </w:pPr>
            <w:r>
              <w:rPr>
                <w:rFonts w:hint="eastAsia" w:ascii="宋体" w:hAnsi="宋体" w:eastAsia="宋体" w:cs="宋体"/>
                <w:b w:val="0"/>
                <w:bCs w:val="0"/>
                <w:spacing w:val="6"/>
                <w:sz w:val="18"/>
                <w:szCs w:val="18"/>
                <w:shd w:val="clear" w:color="auto" w:fill="auto"/>
              </w:rPr>
              <w:t>《全民健身条例》第三十四条</w:t>
            </w:r>
            <w:r>
              <w:rPr>
                <w:rFonts w:hint="eastAsia" w:cs="宋体"/>
                <w:b w:val="0"/>
                <w:bCs w:val="0"/>
                <w:spacing w:val="6"/>
                <w:sz w:val="18"/>
                <w:szCs w:val="18"/>
                <w:shd w:val="clear" w:color="auto" w:fill="auto"/>
                <w:lang w:eastAsia="zh-CN"/>
              </w:rPr>
              <w:t>、《经营高危险性体育项目许可管理办法》第十八条、《河北省高危险性体育项目经营活动管理办法》</w:t>
            </w:r>
          </w:p>
        </w:tc>
      </w:tr>
    </w:tbl>
    <w:p>
      <w:pPr>
        <w:spacing w:before="169"/>
      </w:pPr>
    </w:p>
    <w:sectPr>
      <w:pgSz w:w="16839" w:h="11907"/>
      <w:pgMar w:top="1012" w:right="1180" w:bottom="0" w:left="1283" w:header="0" w:footer="0" w:gutter="0"/>
      <w:pgBorders>
        <w:top w:val="none" w:sz="0" w:space="0"/>
        <w:left w:val="none" w:sz="0" w:space="0"/>
        <w:bottom w:val="none" w:sz="0" w:space="0"/>
        <w:right w:val="none" w:sz="0" w:space="0"/>
      </w:pgBorders>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rsids>
    <w:rsidRoot w:val="00000000"/>
    <w:rsid w:val="009D0EA3"/>
    <w:rsid w:val="06D71169"/>
    <w:rsid w:val="21C0315D"/>
    <w:rsid w:val="2A7F3244"/>
    <w:rsid w:val="333252F7"/>
    <w:rsid w:val="34463128"/>
    <w:rsid w:val="37A015E2"/>
    <w:rsid w:val="3A38011C"/>
    <w:rsid w:val="3CF4361D"/>
    <w:rsid w:val="407C5853"/>
    <w:rsid w:val="4D3F6B37"/>
    <w:rsid w:val="5AE8436A"/>
    <w:rsid w:val="5B557507"/>
    <w:rsid w:val="5DFD5138"/>
    <w:rsid w:val="603B4F3C"/>
    <w:rsid w:val="643F4F48"/>
    <w:rsid w:val="677B0314"/>
    <w:rsid w:val="6F525DFE"/>
    <w:rsid w:val="702D25BB"/>
    <w:rsid w:val="718D5813"/>
    <w:rsid w:val="75B2584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table" w:customStyle="1" w:styleId="4">
    <w:name w:val="Table Normal"/>
    <w:semiHidden/>
    <w:unhideWhenUsed/>
    <w:qFormat/>
    <w:uiPriority w:val="0"/>
    <w:tblPr>
      <w:tblCellMar>
        <w:top w:w="0" w:type="dxa"/>
        <w:left w:w="0" w:type="dxa"/>
        <w:bottom w:w="0" w:type="dxa"/>
        <w:right w:w="0" w:type="dxa"/>
      </w:tblCellMar>
    </w:tblPr>
  </w:style>
  <w:style w:type="paragraph" w:customStyle="1" w:styleId="5">
    <w:name w:val="Table Text"/>
    <w:basedOn w:val="1"/>
    <w:semiHidden/>
    <w:qFormat/>
    <w:uiPriority w:val="0"/>
    <w:rPr>
      <w:rFonts w:ascii="宋体" w:hAnsi="宋体" w:eastAsia="宋体" w:cs="宋体"/>
      <w:sz w:val="18"/>
      <w:szCs w:val="18"/>
      <w:lang w:val="en-US" w:eastAsia="en-US"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Pages>
  <Words>2996</Words>
  <Characters>3000</Characters>
  <TotalTime>27</TotalTime>
  <ScaleCrop>false</ScaleCrop>
  <LinksUpToDate>false</LinksUpToDate>
  <CharactersWithSpaces>3096</CharactersWithSpaces>
  <Application>WPS Office_11.8.2.11718_F1E327BC-269C-435d-A152-05C5408002CA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2025-11-05T13:54:00Z</dcterms:created>
  <dc:creator>Administrator</dc:creator>
  <cp:lastModifiedBy>Administrator</cp:lastModifiedBy>
  <dcterms:modified xsi:type="dcterms:W3CDTF">2025-11-05T07:37:41Z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wqlLaW5nc29mdCBQREYgdG8gV1BTIDExMEI</vt:lpwstr>
  </property>
  <property fmtid="{D5CDD505-2E9C-101B-9397-08002B2CF9AE}" pid="3" name="Created">
    <vt:filetime>2025-11-05T13:54:11Z</vt:filetime>
  </property>
  <property fmtid="{D5CDD505-2E9C-101B-9397-08002B2CF9AE}" pid="4" name="UsrData">
    <vt:lpwstr>690ae6800fa103001f15d50ewl</vt:lpwstr>
  </property>
  <property fmtid="{D5CDD505-2E9C-101B-9397-08002B2CF9AE}" pid="5" name="KSOTemplateDocerSaveRecord">
    <vt:lpwstr>eyJoZGlkIjoiOGYyZTNiNjRkYjFjYWYxNjFlYmFkZmQ5YWI3ZmIzZGEifQ==</vt:lpwstr>
  </property>
  <property fmtid="{D5CDD505-2E9C-101B-9397-08002B2CF9AE}" pid="6" name="KSOProductBuildVer">
    <vt:lpwstr>2052-11.8.2.11718</vt:lpwstr>
  </property>
  <property fmtid="{D5CDD505-2E9C-101B-9397-08002B2CF9AE}" pid="7" name="ICV">
    <vt:lpwstr>55174076211F417786D529909C7061AE_12</vt:lpwstr>
  </property>
</Properties>
</file>