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911C9A8">
      <w:pPr>
        <w:spacing w:line="560" w:lineRule="exact"/>
        <w:jc w:val="center"/>
        <w:rPr>
          <w:rFonts w:ascii="宋体" w:hAnsi="宋体" w:cs="宋体"/>
          <w:b/>
          <w:bCs/>
          <w:sz w:val="44"/>
          <w:szCs w:val="44"/>
        </w:rPr>
      </w:pPr>
    </w:p>
    <w:p w14:paraId="12060171">
      <w:pPr>
        <w:spacing w:line="560" w:lineRule="exact"/>
        <w:jc w:val="center"/>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val="en-US" w:eastAsia="zh-CN"/>
        </w:rPr>
        <w:t>井陉县教育局</w:t>
      </w:r>
    </w:p>
    <w:p w14:paraId="6F65208B">
      <w:pPr>
        <w:spacing w:line="560" w:lineRule="exact"/>
        <w:jc w:val="center"/>
        <w:rPr>
          <w:rFonts w:ascii="宋体" w:hAnsi="宋体" w:cs="宋体"/>
          <w:b/>
          <w:bCs/>
          <w:sz w:val="44"/>
          <w:szCs w:val="44"/>
        </w:rPr>
      </w:pPr>
      <w:r>
        <w:rPr>
          <w:rFonts w:hint="eastAsia" w:ascii="方正小标宋简体" w:hAnsi="方正小标宋简体" w:eastAsia="方正小标宋简体" w:cs="方正小标宋简体"/>
          <w:b w:val="0"/>
          <w:bCs w:val="0"/>
          <w:sz w:val="44"/>
          <w:szCs w:val="44"/>
        </w:rPr>
        <w:t>202</w:t>
      </w:r>
      <w:r>
        <w:rPr>
          <w:rFonts w:hint="eastAsia" w:ascii="方正小标宋简体" w:hAnsi="方正小标宋简体" w:eastAsia="方正小标宋简体" w:cs="方正小标宋简体"/>
          <w:b w:val="0"/>
          <w:bCs w:val="0"/>
          <w:sz w:val="44"/>
          <w:szCs w:val="44"/>
          <w:lang w:val="en-US" w:eastAsia="zh-CN"/>
        </w:rPr>
        <w:t>4</w:t>
      </w:r>
      <w:r>
        <w:rPr>
          <w:rFonts w:hint="eastAsia" w:ascii="方正小标宋简体" w:hAnsi="方正小标宋简体" w:eastAsia="方正小标宋简体" w:cs="方正小标宋简体"/>
          <w:b w:val="0"/>
          <w:bCs w:val="0"/>
          <w:sz w:val="44"/>
          <w:szCs w:val="44"/>
        </w:rPr>
        <w:t>年度部门整体支出绩效自评报告</w:t>
      </w:r>
    </w:p>
    <w:p w14:paraId="5B1A8E5E">
      <w:pPr>
        <w:spacing w:line="560" w:lineRule="exact"/>
        <w:jc w:val="center"/>
        <w:rPr>
          <w:rFonts w:ascii="华文楷体" w:eastAsia="华文楷体"/>
          <w:sz w:val="32"/>
          <w:szCs w:val="32"/>
        </w:rPr>
      </w:pPr>
    </w:p>
    <w:p w14:paraId="7EFB3930">
      <w:pPr>
        <w:adjustRightInd w:val="0"/>
        <w:snapToGrid w:val="0"/>
        <w:spacing w:line="560" w:lineRule="exact"/>
        <w:ind w:firstLine="640" w:firstLineChars="200"/>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贯彻落实市委市政府《关于全面落实预算绩效管理的实施意见》（石发﹝2019﹞8号）文件精神，遵循“科学性、规范性、客观性和公正性”的原则，对</w:t>
      </w:r>
      <w:r>
        <w:rPr>
          <w:rFonts w:hint="eastAsia" w:ascii="方正仿宋简体" w:hAnsi="方正仿宋简体" w:eastAsia="方正仿宋简体" w:cs="方正仿宋简体"/>
          <w:sz w:val="32"/>
          <w:szCs w:val="32"/>
          <w:lang w:val="en-US" w:eastAsia="zh-CN"/>
        </w:rPr>
        <w:t>井陉县教育局</w:t>
      </w:r>
      <w:r>
        <w:rPr>
          <w:rFonts w:hint="eastAsia" w:ascii="方正仿宋简体" w:hAnsi="方正仿宋简体" w:eastAsia="方正仿宋简体" w:cs="方正仿宋简体"/>
          <w:sz w:val="32"/>
          <w:szCs w:val="32"/>
        </w:rPr>
        <w:t>部门202</w:t>
      </w:r>
      <w:r>
        <w:rPr>
          <w:rFonts w:hint="eastAsia" w:ascii="方正仿宋简体" w:hAnsi="方正仿宋简体" w:eastAsia="方正仿宋简体" w:cs="方正仿宋简体"/>
          <w:sz w:val="32"/>
          <w:szCs w:val="32"/>
          <w:lang w:val="en-US" w:eastAsia="zh-CN"/>
        </w:rPr>
        <w:t>4</w:t>
      </w:r>
      <w:r>
        <w:rPr>
          <w:rFonts w:hint="eastAsia" w:ascii="方正仿宋简体" w:hAnsi="方正仿宋简体" w:eastAsia="方正仿宋简体" w:cs="方正仿宋简体"/>
          <w:sz w:val="32"/>
          <w:szCs w:val="32"/>
        </w:rPr>
        <w:t>年整体支出情况实施了财政支出绩效自评价，形成本评价报告。</w:t>
      </w:r>
    </w:p>
    <w:p w14:paraId="47431EF3">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w:t>
      </w:r>
      <w:r>
        <w:rPr>
          <w:rFonts w:hint="eastAsia" w:ascii="方正黑体简体" w:hAnsi="方正黑体简体" w:eastAsia="方正黑体简体" w:cs="方正黑体简体"/>
          <w:sz w:val="32"/>
          <w:szCs w:val="32"/>
        </w:rPr>
        <w:t>一、部门</w:t>
      </w:r>
      <w:r>
        <w:rPr>
          <w:rFonts w:hint="eastAsia" w:ascii="方正黑体简体" w:hAnsi="方正黑体简体" w:eastAsia="方正黑体简体" w:cs="方正黑体简体"/>
          <w:sz w:val="32"/>
          <w:szCs w:val="36"/>
        </w:rPr>
        <w:t>基本情况</w:t>
      </w:r>
    </w:p>
    <w:p w14:paraId="54351B1C">
      <w:pPr>
        <w:adjustRightInd w:val="0"/>
        <w:snapToGrid w:val="0"/>
        <w:spacing w:line="560" w:lineRule="exact"/>
        <w:ind w:firstLine="643" w:firstLineChars="200"/>
        <w:rPr>
          <w:rFonts w:hint="eastAsia" w:ascii="方正楷体简体" w:hAnsi="方正楷体简体" w:eastAsia="方正楷体简体" w:cs="方正楷体简体"/>
          <w:b/>
          <w:bCs w:val="0"/>
          <w:sz w:val="32"/>
          <w:szCs w:val="32"/>
        </w:rPr>
      </w:pPr>
      <w:r>
        <w:rPr>
          <w:rFonts w:hint="eastAsia" w:ascii="方正楷体简体" w:hAnsi="方正楷体简体" w:eastAsia="方正楷体简体" w:cs="方正楷体简体"/>
          <w:b/>
          <w:bCs w:val="0"/>
          <w:sz w:val="32"/>
          <w:szCs w:val="32"/>
        </w:rPr>
        <w:t>（一）部门概况</w:t>
      </w:r>
    </w:p>
    <w:p w14:paraId="58D6282D">
      <w:pPr>
        <w:adjustRightInd w:val="0"/>
        <w:snapToGrid w:val="0"/>
        <w:spacing w:line="560" w:lineRule="exact"/>
        <w:ind w:firstLine="643" w:firstLineChars="200"/>
        <w:rPr>
          <w:rFonts w:hint="eastAsia" w:ascii="方正仿宋简体" w:hAnsi="方正仿宋简体" w:eastAsia="方正仿宋简体" w:cs="方正仿宋简体"/>
          <w:b/>
          <w:bCs/>
          <w:sz w:val="32"/>
          <w:szCs w:val="32"/>
        </w:rPr>
      </w:pPr>
      <w:r>
        <w:rPr>
          <w:rFonts w:hint="eastAsia" w:ascii="方正仿宋简体" w:hAnsi="方正仿宋简体" w:eastAsia="方正仿宋简体" w:cs="方正仿宋简体"/>
          <w:b/>
          <w:bCs/>
          <w:sz w:val="32"/>
          <w:szCs w:val="32"/>
          <w:lang w:val="en-US" w:eastAsia="zh-CN"/>
        </w:rPr>
        <w:t>1.</w:t>
      </w:r>
      <w:r>
        <w:rPr>
          <w:rFonts w:hint="eastAsia" w:ascii="方正仿宋简体" w:hAnsi="方正仿宋简体" w:eastAsia="方正仿宋简体" w:cs="方正仿宋简体"/>
          <w:b/>
          <w:bCs/>
          <w:sz w:val="32"/>
          <w:szCs w:val="32"/>
        </w:rPr>
        <w:t>根据《井陉县教育局职能配置、内设机构和人员编制规定》，井陉县教育局的主要职责是：</w:t>
      </w:r>
    </w:p>
    <w:p w14:paraId="627ABDD1">
      <w:pPr>
        <w:adjustRightInd w:val="0"/>
        <w:snapToGrid w:val="0"/>
        <w:spacing w:line="560" w:lineRule="exact"/>
        <w:ind w:firstLine="640" w:firstLineChars="200"/>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贯彻执行上级有关教育工作的法律法规和方针政策；拟订全县教育改革与发展规划并组织实施。</w:t>
      </w:r>
    </w:p>
    <w:p w14:paraId="590F14FD">
      <w:pPr>
        <w:adjustRightInd w:val="0"/>
        <w:snapToGrid w:val="0"/>
        <w:spacing w:line="560" w:lineRule="exact"/>
        <w:ind w:firstLine="640" w:firstLineChars="200"/>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负责各级各类教育的统筹规划和协调管理，拟订教育工作的长远规划和年度计划并组织实施。</w:t>
      </w:r>
    </w:p>
    <w:p w14:paraId="5A445870">
      <w:pPr>
        <w:adjustRightInd w:val="0"/>
        <w:snapToGrid w:val="0"/>
        <w:spacing w:line="560" w:lineRule="exact"/>
        <w:ind w:firstLine="640" w:firstLineChars="200"/>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负责推进义务教育均衡发展和促进教育公平，综合管理和宏观指导全县学前教育、义务教育、普通高中教育、职业教育、特殊教育、成人教育、老年教育、社会力量办学等工作；负责教育督导与评估验收；负责全县语言文字工作。</w:t>
      </w:r>
    </w:p>
    <w:p w14:paraId="4B1CD7FC">
      <w:pPr>
        <w:adjustRightInd w:val="0"/>
        <w:snapToGrid w:val="0"/>
        <w:spacing w:line="560" w:lineRule="exact"/>
        <w:ind w:firstLine="640" w:firstLineChars="200"/>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负责统筹规划和协调指导全县教育体制改革工作。</w:t>
      </w:r>
    </w:p>
    <w:p w14:paraId="550F134E">
      <w:pPr>
        <w:adjustRightInd w:val="0"/>
        <w:snapToGrid w:val="0"/>
        <w:spacing w:line="560" w:lineRule="exact"/>
        <w:ind w:firstLine="640" w:firstLineChars="200"/>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全面实施素质教育。负责指导各级各类学校的德育、智育、体育、美育、劳动教育、国防教育和法制教育工作；统筹规划、协调指导远程教育和教育信息化工作；指导教育教研和科研工作，组织学校承担国家、省、市下达的科研项目，推动科研成果的转化和推广。</w:t>
      </w:r>
    </w:p>
    <w:p w14:paraId="603E8EC7">
      <w:pPr>
        <w:adjustRightInd w:val="0"/>
        <w:snapToGrid w:val="0"/>
        <w:spacing w:line="560" w:lineRule="exact"/>
        <w:ind w:firstLine="640" w:firstLineChars="200"/>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负责省、市、县拨付教育经费的统筹管理，参与拟订教育经费筹集、教育拨款、教育基建投资政策，指导所属学校后勤管理，负责教育基本信息的统计分析。</w:t>
      </w:r>
    </w:p>
    <w:p w14:paraId="0DA64071">
      <w:pPr>
        <w:adjustRightInd w:val="0"/>
        <w:snapToGrid w:val="0"/>
        <w:spacing w:line="560" w:lineRule="exact"/>
        <w:ind w:firstLine="640" w:firstLineChars="200"/>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负责全县教育系统人才队伍建设的统筹规划、管理工作；负责全县中小学校长队伍建设和教师继续教育工作；负责全县教育系统校务公开工作。</w:t>
      </w:r>
    </w:p>
    <w:p w14:paraId="6E3DD358">
      <w:pPr>
        <w:adjustRightInd w:val="0"/>
        <w:snapToGrid w:val="0"/>
        <w:spacing w:line="560" w:lineRule="exact"/>
        <w:ind w:firstLine="640" w:firstLineChars="200"/>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负责全县教育系统安全和维护稳定工作；会同有关部门做好学校安全、学校及周边环境治理、预防青少年犯罪工作；依法组织或参与组织有关安全事故的调查处理。</w:t>
      </w:r>
    </w:p>
    <w:p w14:paraId="21B96A0E">
      <w:pPr>
        <w:adjustRightInd w:val="0"/>
        <w:snapToGrid w:val="0"/>
        <w:spacing w:line="560" w:lineRule="exact"/>
        <w:ind w:firstLine="640" w:firstLineChars="200"/>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负责组织各类教育招生、考试工作。</w:t>
      </w:r>
    </w:p>
    <w:p w14:paraId="17752A66">
      <w:pPr>
        <w:adjustRightInd w:val="0"/>
        <w:snapToGrid w:val="0"/>
        <w:spacing w:line="560" w:lineRule="exact"/>
        <w:ind w:firstLine="640" w:firstLineChars="200"/>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负责对外教育交流和合作工作。</w:t>
      </w:r>
    </w:p>
    <w:p w14:paraId="36FA873B">
      <w:pPr>
        <w:adjustRightInd w:val="0"/>
        <w:snapToGrid w:val="0"/>
        <w:spacing w:line="560" w:lineRule="exact"/>
        <w:ind w:firstLine="640" w:firstLineChars="200"/>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负责所属事业单位、直属学校党群、思想政治、宣传统战、精神文明建设和廉政建设工作；按照干部管理权限负责所属事业单位、直属学校领导班子建设；负责所属事业单位、直属学校领导干部的考察、任免等工作，指导所属事业单位、直属学校中层干部队伍建设和校级后备干部队伍建设。</w:t>
      </w:r>
    </w:p>
    <w:p w14:paraId="215CCC8A">
      <w:pPr>
        <w:adjustRightInd w:val="0"/>
        <w:snapToGrid w:val="0"/>
        <w:spacing w:line="560" w:lineRule="exact"/>
        <w:ind w:firstLine="640" w:firstLineChars="200"/>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负责全县教育系统党的政治建设、思想建设、组织建设、作风建设、纪律建设和制度建设。协调推动教育系统思想政治、意识形态工作，以及国家教育发展战略、中长期规划、教育重大政策和体制改革方案的落实。</w:t>
      </w:r>
    </w:p>
    <w:p w14:paraId="6835CB3E">
      <w:pPr>
        <w:adjustRightInd w:val="0"/>
        <w:snapToGrid w:val="0"/>
        <w:spacing w:line="560" w:lineRule="exact"/>
        <w:ind w:firstLine="640" w:firstLineChars="200"/>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承办县委、县政府交办的其他任务。</w:t>
      </w:r>
    </w:p>
    <w:p w14:paraId="33F04D82">
      <w:pPr>
        <w:adjustRightInd w:val="0"/>
        <w:snapToGrid w:val="0"/>
        <w:spacing w:line="560" w:lineRule="exact"/>
        <w:ind w:firstLine="643" w:firstLineChars="200"/>
        <w:rPr>
          <w:rFonts w:hint="eastAsia" w:ascii="方正仿宋简体" w:hAnsi="方正仿宋简体" w:eastAsia="方正仿宋简体" w:cs="方正仿宋简体"/>
          <w:b/>
          <w:bCs/>
          <w:sz w:val="32"/>
          <w:szCs w:val="32"/>
        </w:rPr>
      </w:pPr>
      <w:r>
        <w:rPr>
          <w:rFonts w:hint="eastAsia" w:ascii="方正仿宋简体" w:hAnsi="方正仿宋简体" w:eastAsia="方正仿宋简体" w:cs="方正仿宋简体"/>
          <w:b/>
          <w:bCs/>
          <w:sz w:val="32"/>
          <w:szCs w:val="32"/>
        </w:rPr>
        <w:t>2.机构、人员构成</w:t>
      </w:r>
    </w:p>
    <w:p w14:paraId="2DC23EF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井陉县教育局共有预算单位</w:t>
      </w:r>
      <w:r>
        <w:rPr>
          <w:rFonts w:hint="eastAsia" w:ascii="方正仿宋简体" w:hAnsi="方正仿宋简体" w:eastAsia="方正仿宋简体" w:cs="方正仿宋简体"/>
          <w:sz w:val="32"/>
          <w:szCs w:val="32"/>
          <w:lang w:val="en-US" w:eastAsia="zh-CN"/>
        </w:rPr>
        <w:t>36</w:t>
      </w:r>
      <w:r>
        <w:rPr>
          <w:rFonts w:hint="eastAsia" w:ascii="方正仿宋简体" w:hAnsi="方正仿宋简体" w:eastAsia="方正仿宋简体" w:cs="方正仿宋简体"/>
          <w:sz w:val="32"/>
          <w:szCs w:val="32"/>
        </w:rPr>
        <w:t>个。包括局本级、各级各类学校所属二级预算单位。202</w:t>
      </w:r>
      <w:r>
        <w:rPr>
          <w:rFonts w:hint="eastAsia" w:ascii="方正仿宋简体" w:hAnsi="方正仿宋简体" w:eastAsia="方正仿宋简体" w:cs="方正仿宋简体"/>
          <w:sz w:val="32"/>
          <w:szCs w:val="32"/>
          <w:lang w:val="en-US" w:eastAsia="zh-CN"/>
        </w:rPr>
        <w:t>4</w:t>
      </w:r>
      <w:r>
        <w:rPr>
          <w:rFonts w:hint="eastAsia" w:ascii="方正仿宋简体" w:hAnsi="方正仿宋简体" w:eastAsia="方正仿宋简体" w:cs="方正仿宋简体"/>
          <w:sz w:val="32"/>
          <w:szCs w:val="32"/>
        </w:rPr>
        <w:t>年末部门实有在职</w:t>
      </w:r>
      <w:r>
        <w:rPr>
          <w:rFonts w:hint="eastAsia" w:ascii="方正仿宋简体" w:hAnsi="方正仿宋简体" w:eastAsia="方正仿宋简体" w:cs="方正仿宋简体"/>
          <w:sz w:val="32"/>
          <w:szCs w:val="32"/>
          <w:lang w:val="en-US" w:eastAsia="zh-CN"/>
        </w:rPr>
        <w:t>2784</w:t>
      </w:r>
      <w:r>
        <w:rPr>
          <w:rFonts w:hint="eastAsia" w:ascii="方正仿宋简体" w:hAnsi="方正仿宋简体" w:eastAsia="方正仿宋简体" w:cs="方正仿宋简体"/>
          <w:sz w:val="32"/>
          <w:szCs w:val="32"/>
        </w:rPr>
        <w:t>人，其中：行政在职人员11人，事业编制在职人员27</w:t>
      </w:r>
      <w:r>
        <w:rPr>
          <w:rFonts w:hint="eastAsia" w:ascii="方正仿宋简体" w:hAnsi="方正仿宋简体" w:eastAsia="方正仿宋简体" w:cs="方正仿宋简体"/>
          <w:sz w:val="32"/>
          <w:szCs w:val="32"/>
          <w:lang w:val="en-US" w:eastAsia="zh-CN"/>
        </w:rPr>
        <w:t>73</w:t>
      </w:r>
      <w:r>
        <w:rPr>
          <w:rFonts w:hint="eastAsia" w:ascii="方正仿宋简体" w:hAnsi="方正仿宋简体" w:eastAsia="方正仿宋简体" w:cs="方正仿宋简体"/>
          <w:sz w:val="32"/>
          <w:szCs w:val="32"/>
        </w:rPr>
        <w:t>人；离休人员</w:t>
      </w:r>
      <w:r>
        <w:rPr>
          <w:rFonts w:hint="eastAsia" w:ascii="方正仿宋简体" w:hAnsi="方正仿宋简体" w:eastAsia="方正仿宋简体" w:cs="方正仿宋简体"/>
          <w:sz w:val="32"/>
          <w:szCs w:val="32"/>
          <w:lang w:val="en-US" w:eastAsia="zh-CN"/>
        </w:rPr>
        <w:t>2</w:t>
      </w:r>
      <w:r>
        <w:rPr>
          <w:rFonts w:hint="eastAsia" w:ascii="方正仿宋简体" w:hAnsi="方正仿宋简体" w:eastAsia="方正仿宋简体" w:cs="方正仿宋简体"/>
          <w:sz w:val="32"/>
          <w:szCs w:val="32"/>
        </w:rPr>
        <w:t>人,特岗教师</w:t>
      </w:r>
      <w:r>
        <w:rPr>
          <w:rFonts w:hint="eastAsia" w:ascii="方正仿宋简体" w:hAnsi="方正仿宋简体" w:eastAsia="方正仿宋简体" w:cs="方正仿宋简体"/>
          <w:sz w:val="32"/>
          <w:szCs w:val="32"/>
          <w:lang w:val="en-US" w:eastAsia="zh-CN"/>
        </w:rPr>
        <w:t>53</w:t>
      </w:r>
      <w:r>
        <w:rPr>
          <w:rFonts w:hint="eastAsia" w:ascii="方正仿宋简体" w:hAnsi="方正仿宋简体" w:eastAsia="方正仿宋简体" w:cs="方正仿宋简体"/>
          <w:sz w:val="32"/>
          <w:szCs w:val="32"/>
        </w:rPr>
        <w:t>人。</w:t>
      </w:r>
    </w:p>
    <w:p w14:paraId="69A66318">
      <w:pPr>
        <w:numPr>
          <w:ilvl w:val="0"/>
          <w:numId w:val="0"/>
        </w:numPr>
        <w:adjustRightInd w:val="0"/>
        <w:snapToGrid w:val="0"/>
        <w:spacing w:line="560" w:lineRule="exact"/>
        <w:ind w:firstLine="643" w:firstLineChars="200"/>
        <w:rPr>
          <w:rFonts w:hint="eastAsia" w:ascii="方正楷体简体" w:hAnsi="方正楷体简体" w:eastAsia="方正楷体简体" w:cs="方正楷体简体"/>
          <w:b/>
          <w:bCs w:val="0"/>
          <w:sz w:val="32"/>
          <w:szCs w:val="32"/>
        </w:rPr>
      </w:pPr>
      <w:r>
        <w:rPr>
          <w:rFonts w:hint="eastAsia" w:ascii="方正楷体简体" w:hAnsi="方正楷体简体" w:eastAsia="方正楷体简体" w:cs="方正楷体简体"/>
          <w:b/>
          <w:bCs w:val="0"/>
          <w:sz w:val="32"/>
          <w:szCs w:val="32"/>
          <w:lang w:eastAsia="zh-CN"/>
        </w:rPr>
        <w:t>（</w:t>
      </w:r>
      <w:r>
        <w:rPr>
          <w:rFonts w:hint="eastAsia" w:ascii="方正楷体简体" w:hAnsi="方正楷体简体" w:eastAsia="方正楷体简体" w:cs="方正楷体简体"/>
          <w:b/>
          <w:bCs w:val="0"/>
          <w:sz w:val="32"/>
          <w:szCs w:val="32"/>
          <w:lang w:val="en-US" w:eastAsia="zh-CN"/>
        </w:rPr>
        <w:t>二</w:t>
      </w:r>
      <w:r>
        <w:rPr>
          <w:rFonts w:hint="eastAsia" w:ascii="方正楷体简体" w:hAnsi="方正楷体简体" w:eastAsia="方正楷体简体" w:cs="方正楷体简体"/>
          <w:b/>
          <w:bCs w:val="0"/>
          <w:sz w:val="32"/>
          <w:szCs w:val="32"/>
          <w:lang w:eastAsia="zh-CN"/>
        </w:rPr>
        <w:t>）</w:t>
      </w:r>
      <w:r>
        <w:rPr>
          <w:rFonts w:hint="eastAsia" w:ascii="方正楷体简体" w:hAnsi="方正楷体简体" w:eastAsia="方正楷体简体" w:cs="方正楷体简体"/>
          <w:b/>
          <w:bCs w:val="0"/>
          <w:sz w:val="32"/>
          <w:szCs w:val="32"/>
        </w:rPr>
        <w:t>部门收支预决算情况</w:t>
      </w:r>
    </w:p>
    <w:p w14:paraId="5FF9A5B4">
      <w:pPr>
        <w:pStyle w:val="2"/>
        <w:keepNext w:val="0"/>
        <w:keepLines w:val="0"/>
        <w:pageBreakBefore w:val="0"/>
        <w:widowControl w:val="0"/>
        <w:numPr>
          <w:ilvl w:val="0"/>
          <w:numId w:val="0"/>
        </w:numPr>
        <w:kinsoku/>
        <w:wordWrap/>
        <w:overflowPunct/>
        <w:topLinePunct w:val="0"/>
        <w:autoSpaceDE/>
        <w:autoSpaceDN/>
        <w:bidi w:val="0"/>
        <w:adjustRightInd/>
        <w:snapToGrid/>
        <w:spacing w:after="0" w:line="560" w:lineRule="exact"/>
        <w:textAlignment w:val="auto"/>
        <w:rPr>
          <w:rFonts w:hint="eastAsia" w:ascii="方正仿宋简体" w:hAnsi="方正仿宋简体" w:eastAsia="方正仿宋简体" w:cs="方正仿宋简体"/>
          <w:kern w:val="2"/>
          <w:sz w:val="32"/>
          <w:szCs w:val="32"/>
          <w:lang w:val="en-US" w:eastAsia="zh-CN" w:bidi="ar-SA"/>
        </w:rPr>
      </w:pPr>
      <w:r>
        <w:rPr>
          <w:rFonts w:hint="eastAsia"/>
          <w:lang w:val="en-US" w:eastAsia="zh-CN"/>
        </w:rPr>
        <w:t xml:space="preserve">      </w:t>
      </w:r>
      <w:r>
        <w:rPr>
          <w:rFonts w:hint="eastAsia" w:ascii="方正仿宋简体" w:hAnsi="方正仿宋简体" w:eastAsia="方正仿宋简体" w:cs="方正仿宋简体"/>
          <w:kern w:val="2"/>
          <w:sz w:val="32"/>
          <w:szCs w:val="32"/>
          <w:lang w:val="en-US" w:eastAsia="zh-CN" w:bidi="ar-SA"/>
        </w:rPr>
        <w:t xml:space="preserve"> 2024年预算收入60359.70215万元，其中：一般公共预算收入58758.7474万元，</w:t>
      </w:r>
      <w:bookmarkStart w:id="0" w:name="OLE_LINK1"/>
      <w:r>
        <w:rPr>
          <w:rFonts w:hint="eastAsia" w:ascii="方正仿宋简体" w:hAnsi="方正仿宋简体" w:eastAsia="方正仿宋简体" w:cs="方正仿宋简体"/>
          <w:kern w:val="2"/>
          <w:sz w:val="32"/>
          <w:szCs w:val="32"/>
          <w:lang w:val="en-US" w:eastAsia="zh-CN" w:bidi="ar-SA"/>
        </w:rPr>
        <w:t>占总收入的97.35%</w:t>
      </w:r>
      <w:bookmarkEnd w:id="0"/>
      <w:r>
        <w:rPr>
          <w:rFonts w:hint="eastAsia" w:ascii="仿宋" w:hAnsi="仿宋" w:eastAsia="仿宋"/>
          <w:sz w:val="32"/>
          <w:szCs w:val="32"/>
          <w:lang w:val="en-US" w:eastAsia="zh-CN"/>
        </w:rPr>
        <w:t>，</w:t>
      </w:r>
      <w:r>
        <w:rPr>
          <w:rFonts w:hint="eastAsia" w:ascii="方正仿宋简体" w:hAnsi="方正仿宋简体" w:eastAsia="方正仿宋简体" w:cs="方正仿宋简体"/>
          <w:kern w:val="2"/>
          <w:sz w:val="32"/>
          <w:szCs w:val="32"/>
          <w:lang w:val="en-US" w:eastAsia="zh-CN" w:bidi="ar-SA"/>
        </w:rPr>
        <w:t>基金预算收入0元，财政专户核拨收入1451.5315万元，占总收入的2.4%</w:t>
      </w:r>
      <w:r>
        <w:rPr>
          <w:rFonts w:hint="eastAsia" w:ascii="仿宋" w:hAnsi="仿宋" w:eastAsia="仿宋"/>
          <w:sz w:val="32"/>
          <w:szCs w:val="32"/>
          <w:lang w:val="en-US" w:eastAsia="zh-CN"/>
        </w:rPr>
        <w:t>，</w:t>
      </w:r>
      <w:r>
        <w:rPr>
          <w:rFonts w:hint="eastAsia" w:ascii="方正仿宋简体" w:hAnsi="方正仿宋简体" w:eastAsia="方正仿宋简体" w:cs="方正仿宋简体"/>
          <w:kern w:val="2"/>
          <w:sz w:val="32"/>
          <w:szCs w:val="32"/>
          <w:lang w:val="en-US" w:eastAsia="zh-CN" w:bidi="ar-SA"/>
        </w:rPr>
        <w:t>其他来源收入149.42325万元，占总收入的0.25%。</w:t>
      </w:r>
    </w:p>
    <w:p w14:paraId="3B619F07">
      <w:pPr>
        <w:pStyle w:val="2"/>
        <w:keepNext w:val="0"/>
        <w:keepLines w:val="0"/>
        <w:pageBreakBefore w:val="0"/>
        <w:widowControl w:val="0"/>
        <w:numPr>
          <w:ilvl w:val="0"/>
          <w:numId w:val="0"/>
        </w:numPr>
        <w:kinsoku/>
        <w:wordWrap/>
        <w:overflowPunct/>
        <w:topLinePunct w:val="0"/>
        <w:autoSpaceDE/>
        <w:autoSpaceDN/>
        <w:bidi w:val="0"/>
        <w:adjustRightInd/>
        <w:snapToGrid/>
        <w:spacing w:after="0" w:line="560" w:lineRule="exact"/>
        <w:ind w:firstLine="640" w:firstLineChars="200"/>
        <w:textAlignment w:val="auto"/>
        <w:rPr>
          <w:rFonts w:hint="default" w:eastAsia="宋体"/>
          <w:lang w:val="en-US" w:eastAsia="zh-CN"/>
        </w:rPr>
      </w:pPr>
      <w:r>
        <w:rPr>
          <w:rFonts w:hint="eastAsia" w:ascii="方正仿宋简体" w:hAnsi="方正仿宋简体" w:eastAsia="方正仿宋简体" w:cs="方正仿宋简体"/>
          <w:kern w:val="2"/>
          <w:sz w:val="32"/>
          <w:szCs w:val="32"/>
          <w:lang w:val="en-US" w:eastAsia="zh-CN" w:bidi="ar-SA"/>
        </w:rPr>
        <w:t>2024年决算支出56226.404472万元，其中：基本支出42988.060226万元，占总支出的76.46%；项目支出13238.344246万元，占总支出的23.54%。</w:t>
      </w:r>
    </w:p>
    <w:p w14:paraId="1E75F469">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ascii="楷体" w:hAnsi="楷体" w:eastAsia="楷体" w:cs="楷体_GB2312"/>
          <w:bCs/>
          <w:sz w:val="32"/>
          <w:szCs w:val="32"/>
        </w:rPr>
      </w:pPr>
      <w:r>
        <w:rPr>
          <w:rFonts w:hint="eastAsia" w:ascii="方正楷体简体" w:hAnsi="方正楷体简体" w:eastAsia="方正楷体简体" w:cs="方正楷体简体"/>
          <w:b/>
          <w:bCs w:val="0"/>
          <w:sz w:val="32"/>
          <w:szCs w:val="32"/>
        </w:rPr>
        <w:t>（三）部门整体支出绩效目标、指标</w:t>
      </w:r>
    </w:p>
    <w:tbl>
      <w:tblPr>
        <w:tblStyle w:val="6"/>
        <w:tblW w:w="864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90"/>
        <w:gridCol w:w="1374"/>
        <w:gridCol w:w="2505"/>
        <w:gridCol w:w="2325"/>
        <w:gridCol w:w="1746"/>
      </w:tblGrid>
      <w:tr w14:paraId="6FD52F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5" w:hRule="atLeast"/>
        </w:trPr>
        <w:tc>
          <w:tcPr>
            <w:tcW w:w="8640" w:type="dxa"/>
            <w:gridSpan w:val="5"/>
            <w:tcBorders>
              <w:top w:val="nil"/>
              <w:left w:val="nil"/>
              <w:bottom w:val="nil"/>
              <w:right w:val="nil"/>
            </w:tcBorders>
            <w:shd w:val="clear" w:color="auto" w:fill="auto"/>
            <w:vAlign w:val="center"/>
          </w:tcPr>
          <w:p w14:paraId="2602036F">
            <w:pPr>
              <w:keepNext w:val="0"/>
              <w:keepLines w:val="0"/>
              <w:pageBreakBefore w:val="0"/>
              <w:widowControl/>
              <w:suppressLineNumbers w:val="0"/>
              <w:kinsoku/>
              <w:overflowPunct/>
              <w:topLinePunct w:val="0"/>
              <w:autoSpaceDE/>
              <w:autoSpaceDN/>
              <w:bidi w:val="0"/>
              <w:spacing w:line="600" w:lineRule="exact"/>
              <w:ind w:firstLine="640" w:firstLineChars="200"/>
              <w:jc w:val="left"/>
              <w:textAlignment w:val="center"/>
              <w:rPr>
                <w:rFonts w:hint="eastAsia" w:ascii="宋体" w:hAnsi="宋体" w:eastAsia="宋体" w:cs="宋体"/>
                <w:i w:val="0"/>
                <w:iCs w:val="0"/>
                <w:color w:val="000000"/>
                <w:sz w:val="18"/>
                <w:szCs w:val="18"/>
                <w:highlight w:val="none"/>
                <w:u w:val="none"/>
              </w:rPr>
            </w:pPr>
            <w:r>
              <w:rPr>
                <w:rFonts w:hint="eastAsia" w:ascii="方正仿宋简体" w:hAnsi="方正仿宋简体" w:eastAsia="方正仿宋简体" w:cs="方正仿宋简体"/>
                <w:i w:val="0"/>
                <w:iCs w:val="0"/>
                <w:color w:val="000000"/>
                <w:kern w:val="0"/>
                <w:sz w:val="32"/>
                <w:szCs w:val="32"/>
                <w:highlight w:val="none"/>
                <w:u w:val="none"/>
                <w:lang w:val="en-US" w:eastAsia="zh-CN" w:bidi="ar"/>
              </w:rPr>
              <w:t>根据部门整体支出绩效目标自评表，结合教育工作实际情况，特制定如下目标表：</w:t>
            </w:r>
          </w:p>
        </w:tc>
      </w:tr>
      <w:tr w14:paraId="1939DD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9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AE0283B">
            <w:pPr>
              <w:keepNext w:val="0"/>
              <w:keepLines w:val="0"/>
              <w:pageBreakBefore w:val="0"/>
              <w:widowControl/>
              <w:suppressLineNumbers w:val="0"/>
              <w:kinsoku/>
              <w:overflowPunct/>
              <w:topLinePunct w:val="0"/>
              <w:autoSpaceDE/>
              <w:autoSpaceDN/>
              <w:bidi w:val="0"/>
              <w:spacing w:line="60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一级指标</w:t>
            </w:r>
          </w:p>
        </w:tc>
        <w:tc>
          <w:tcPr>
            <w:tcW w:w="137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3790BA5">
            <w:pPr>
              <w:keepNext w:val="0"/>
              <w:keepLines w:val="0"/>
              <w:pageBreakBefore w:val="0"/>
              <w:widowControl/>
              <w:suppressLineNumbers w:val="0"/>
              <w:kinsoku/>
              <w:overflowPunct/>
              <w:topLinePunct w:val="0"/>
              <w:autoSpaceDE/>
              <w:autoSpaceDN/>
              <w:bidi w:val="0"/>
              <w:spacing w:line="60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二级指标</w:t>
            </w:r>
          </w:p>
        </w:tc>
        <w:tc>
          <w:tcPr>
            <w:tcW w:w="25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D371750">
            <w:pPr>
              <w:keepNext w:val="0"/>
              <w:keepLines w:val="0"/>
              <w:pageBreakBefore w:val="0"/>
              <w:widowControl/>
              <w:suppressLineNumbers w:val="0"/>
              <w:kinsoku/>
              <w:overflowPunct/>
              <w:topLinePunct w:val="0"/>
              <w:autoSpaceDE/>
              <w:autoSpaceDN/>
              <w:bidi w:val="0"/>
              <w:spacing w:line="60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三级指标</w:t>
            </w:r>
          </w:p>
        </w:tc>
        <w:tc>
          <w:tcPr>
            <w:tcW w:w="23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404BBF8">
            <w:pPr>
              <w:keepNext w:val="0"/>
              <w:keepLines w:val="0"/>
              <w:pageBreakBefore w:val="0"/>
              <w:widowControl/>
              <w:suppressLineNumbers w:val="0"/>
              <w:kinsoku/>
              <w:overflowPunct/>
              <w:topLinePunct w:val="0"/>
              <w:autoSpaceDE/>
              <w:autoSpaceDN/>
              <w:bidi w:val="0"/>
              <w:spacing w:line="60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年度指标值</w:t>
            </w:r>
          </w:p>
        </w:tc>
        <w:tc>
          <w:tcPr>
            <w:tcW w:w="17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14E1E01">
            <w:pPr>
              <w:keepNext w:val="0"/>
              <w:keepLines w:val="0"/>
              <w:pageBreakBefore w:val="0"/>
              <w:widowControl/>
              <w:suppressLineNumbers w:val="0"/>
              <w:kinsoku/>
              <w:overflowPunct/>
              <w:topLinePunct w:val="0"/>
              <w:autoSpaceDE/>
              <w:autoSpaceDN/>
              <w:bidi w:val="0"/>
              <w:spacing w:line="60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分值</w:t>
            </w:r>
          </w:p>
        </w:tc>
      </w:tr>
      <w:tr w14:paraId="619A48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69835B">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000000"/>
                <w:sz w:val="18"/>
                <w:szCs w:val="18"/>
                <w:highlight w:val="none"/>
                <w:u w:val="none"/>
              </w:rPr>
            </w:pPr>
          </w:p>
        </w:tc>
        <w:tc>
          <w:tcPr>
            <w:tcW w:w="13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9C3A53">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000000"/>
                <w:sz w:val="18"/>
                <w:szCs w:val="18"/>
                <w:highlight w:val="none"/>
                <w:u w:val="none"/>
              </w:rPr>
            </w:pP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4722DE">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000000"/>
                <w:sz w:val="18"/>
                <w:szCs w:val="18"/>
                <w:highlight w:val="none"/>
                <w:u w:val="none"/>
              </w:rPr>
            </w:pPr>
          </w:p>
        </w:tc>
        <w:tc>
          <w:tcPr>
            <w:tcW w:w="23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6DCAE1">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000000"/>
                <w:sz w:val="18"/>
                <w:szCs w:val="18"/>
                <w:highlight w:val="none"/>
                <w:u w:val="none"/>
              </w:rPr>
            </w:pPr>
          </w:p>
        </w:tc>
        <w:tc>
          <w:tcPr>
            <w:tcW w:w="17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882818">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000000"/>
                <w:sz w:val="18"/>
                <w:szCs w:val="18"/>
                <w:highlight w:val="none"/>
                <w:u w:val="none"/>
              </w:rPr>
            </w:pPr>
          </w:p>
        </w:tc>
      </w:tr>
      <w:tr w14:paraId="6EB3E3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5" w:hRule="atLeast"/>
        </w:trPr>
        <w:tc>
          <w:tcPr>
            <w:tcW w:w="69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F34AE27">
            <w:pPr>
              <w:keepNext w:val="0"/>
              <w:keepLines w:val="0"/>
              <w:pageBreakBefore w:val="0"/>
              <w:widowControl/>
              <w:suppressLineNumbers w:val="0"/>
              <w:kinsoku/>
              <w:overflowPunct/>
              <w:topLinePunct w:val="0"/>
              <w:autoSpaceDE/>
              <w:autoSpaceDN/>
              <w:bidi w:val="0"/>
              <w:spacing w:line="60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管理指标</w:t>
            </w:r>
          </w:p>
        </w:tc>
        <w:tc>
          <w:tcPr>
            <w:tcW w:w="13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65DAB1">
            <w:pPr>
              <w:keepNext w:val="0"/>
              <w:keepLines w:val="0"/>
              <w:pageBreakBefore w:val="0"/>
              <w:widowControl/>
              <w:suppressLineNumbers w:val="0"/>
              <w:kinsoku/>
              <w:overflowPunct/>
              <w:topLinePunct w:val="0"/>
              <w:autoSpaceDE/>
              <w:autoSpaceDN/>
              <w:bidi w:val="0"/>
              <w:spacing w:line="60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预算编审管理</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D3CFC3">
            <w:pPr>
              <w:keepNext w:val="0"/>
              <w:keepLines w:val="0"/>
              <w:pageBreakBefore w:val="0"/>
              <w:widowControl/>
              <w:suppressLineNumbers w:val="0"/>
              <w:kinsoku/>
              <w:overflowPunct/>
              <w:topLinePunct w:val="0"/>
              <w:autoSpaceDE/>
              <w:autoSpaceDN/>
              <w:bidi w:val="0"/>
              <w:spacing w:line="60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预算编制完整性、准确性</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FB5177">
            <w:pPr>
              <w:keepNext w:val="0"/>
              <w:keepLines w:val="0"/>
              <w:pageBreakBefore w:val="0"/>
              <w:widowControl/>
              <w:suppressLineNumbers w:val="0"/>
              <w:kinsoku/>
              <w:overflowPunct/>
              <w:topLinePunct w:val="0"/>
              <w:autoSpaceDE/>
              <w:autoSpaceDN/>
              <w:bidi w:val="0"/>
              <w:spacing w:line="60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按要求编制完整、准确</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572FDD">
            <w:pPr>
              <w:keepNext w:val="0"/>
              <w:keepLines w:val="0"/>
              <w:pageBreakBefore w:val="0"/>
              <w:widowControl/>
              <w:suppressLineNumbers w:val="0"/>
              <w:kinsoku/>
              <w:overflowPunct/>
              <w:topLinePunct w:val="0"/>
              <w:autoSpaceDE/>
              <w:autoSpaceDN/>
              <w:bidi w:val="0"/>
              <w:spacing w:line="60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3</w:t>
            </w:r>
          </w:p>
        </w:tc>
      </w:tr>
      <w:tr w14:paraId="2F7D67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5" w:hRule="atLeast"/>
        </w:trPr>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9687F5">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000000"/>
                <w:sz w:val="18"/>
                <w:szCs w:val="18"/>
                <w:highlight w:val="none"/>
                <w:u w:val="none"/>
              </w:rPr>
            </w:pPr>
          </w:p>
        </w:tc>
        <w:tc>
          <w:tcPr>
            <w:tcW w:w="137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7B587E7">
            <w:pPr>
              <w:keepNext w:val="0"/>
              <w:keepLines w:val="0"/>
              <w:pageBreakBefore w:val="0"/>
              <w:widowControl/>
              <w:suppressLineNumbers w:val="0"/>
              <w:kinsoku/>
              <w:overflowPunct/>
              <w:topLinePunct w:val="0"/>
              <w:autoSpaceDE/>
              <w:autoSpaceDN/>
              <w:bidi w:val="0"/>
              <w:spacing w:line="60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预算执行管理</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0388DD">
            <w:pPr>
              <w:keepNext w:val="0"/>
              <w:keepLines w:val="0"/>
              <w:pageBreakBefore w:val="0"/>
              <w:widowControl/>
              <w:suppressLineNumbers w:val="0"/>
              <w:kinsoku/>
              <w:overflowPunct/>
              <w:topLinePunct w:val="0"/>
              <w:autoSpaceDE/>
              <w:autoSpaceDN/>
              <w:bidi w:val="0"/>
              <w:spacing w:line="60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部门预算完成率</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0AB2EE">
            <w:pPr>
              <w:keepNext w:val="0"/>
              <w:keepLines w:val="0"/>
              <w:pageBreakBefore w:val="0"/>
              <w:widowControl/>
              <w:suppressLineNumbers w:val="0"/>
              <w:kinsoku/>
              <w:overflowPunct/>
              <w:topLinePunct w:val="0"/>
              <w:autoSpaceDE/>
              <w:autoSpaceDN/>
              <w:bidi w:val="0"/>
              <w:spacing w:line="60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≥95%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212318">
            <w:pPr>
              <w:keepNext w:val="0"/>
              <w:keepLines w:val="0"/>
              <w:pageBreakBefore w:val="0"/>
              <w:widowControl/>
              <w:suppressLineNumbers w:val="0"/>
              <w:kinsoku/>
              <w:overflowPunct/>
              <w:topLinePunct w:val="0"/>
              <w:autoSpaceDE/>
              <w:autoSpaceDN/>
              <w:bidi w:val="0"/>
              <w:spacing w:line="60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cs="宋体"/>
                <w:i w:val="0"/>
                <w:iCs w:val="0"/>
                <w:color w:val="000000"/>
                <w:kern w:val="0"/>
                <w:sz w:val="18"/>
                <w:szCs w:val="18"/>
                <w:highlight w:val="none"/>
                <w:u w:val="none"/>
                <w:lang w:val="en-US" w:eastAsia="zh-CN" w:bidi="ar"/>
              </w:rPr>
              <w:t>3</w:t>
            </w:r>
          </w:p>
        </w:tc>
      </w:tr>
      <w:tr w14:paraId="1C1F73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5" w:hRule="atLeast"/>
        </w:trPr>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74012F">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000000"/>
                <w:sz w:val="18"/>
                <w:szCs w:val="18"/>
                <w:highlight w:val="none"/>
                <w:u w:val="none"/>
              </w:rPr>
            </w:pPr>
          </w:p>
        </w:tc>
        <w:tc>
          <w:tcPr>
            <w:tcW w:w="13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3FC051">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000000"/>
                <w:sz w:val="18"/>
                <w:szCs w:val="18"/>
                <w:highlight w:val="none"/>
                <w:u w:val="none"/>
              </w:rPr>
            </w:pP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C5F957">
            <w:pPr>
              <w:keepNext w:val="0"/>
              <w:keepLines w:val="0"/>
              <w:pageBreakBefore w:val="0"/>
              <w:widowControl/>
              <w:suppressLineNumbers w:val="0"/>
              <w:kinsoku/>
              <w:overflowPunct/>
              <w:topLinePunct w:val="0"/>
              <w:autoSpaceDE/>
              <w:autoSpaceDN/>
              <w:bidi w:val="0"/>
              <w:spacing w:line="60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公用经费控制率</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E7A0F3">
            <w:pPr>
              <w:keepNext w:val="0"/>
              <w:keepLines w:val="0"/>
              <w:pageBreakBefore w:val="0"/>
              <w:widowControl/>
              <w:suppressLineNumbers w:val="0"/>
              <w:kinsoku/>
              <w:overflowPunct/>
              <w:topLinePunct w:val="0"/>
              <w:autoSpaceDE/>
              <w:autoSpaceDN/>
              <w:bidi w:val="0"/>
              <w:spacing w:line="60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D3CE51">
            <w:pPr>
              <w:keepNext w:val="0"/>
              <w:keepLines w:val="0"/>
              <w:pageBreakBefore w:val="0"/>
              <w:widowControl/>
              <w:suppressLineNumbers w:val="0"/>
              <w:kinsoku/>
              <w:overflowPunct/>
              <w:topLinePunct w:val="0"/>
              <w:autoSpaceDE/>
              <w:autoSpaceDN/>
              <w:bidi w:val="0"/>
              <w:spacing w:line="60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3</w:t>
            </w:r>
          </w:p>
        </w:tc>
      </w:tr>
      <w:tr w14:paraId="7B9452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BE5D9D">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000000"/>
                <w:sz w:val="18"/>
                <w:szCs w:val="18"/>
                <w:highlight w:val="none"/>
                <w:u w:val="none"/>
              </w:rPr>
            </w:pPr>
          </w:p>
        </w:tc>
        <w:tc>
          <w:tcPr>
            <w:tcW w:w="13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08B39E">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000000"/>
                <w:sz w:val="18"/>
                <w:szCs w:val="18"/>
                <w:highlight w:val="none"/>
                <w:u w:val="none"/>
              </w:rPr>
            </w:pP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F6248">
            <w:pPr>
              <w:keepNext w:val="0"/>
              <w:keepLines w:val="0"/>
              <w:pageBreakBefore w:val="0"/>
              <w:widowControl/>
              <w:suppressLineNumbers w:val="0"/>
              <w:kinsoku/>
              <w:overflowPunct/>
              <w:topLinePunct w:val="0"/>
              <w:autoSpaceDE/>
              <w:autoSpaceDN/>
              <w:bidi w:val="0"/>
              <w:spacing w:line="60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三公经费控制率</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E7A166">
            <w:pPr>
              <w:keepNext w:val="0"/>
              <w:keepLines w:val="0"/>
              <w:pageBreakBefore w:val="0"/>
              <w:widowControl/>
              <w:suppressLineNumbers w:val="0"/>
              <w:kinsoku/>
              <w:overflowPunct/>
              <w:topLinePunct w:val="0"/>
              <w:autoSpaceDE/>
              <w:autoSpaceDN/>
              <w:bidi w:val="0"/>
              <w:spacing w:line="60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E4159A">
            <w:pPr>
              <w:keepNext w:val="0"/>
              <w:keepLines w:val="0"/>
              <w:pageBreakBefore w:val="0"/>
              <w:widowControl/>
              <w:suppressLineNumbers w:val="0"/>
              <w:kinsoku/>
              <w:overflowPunct/>
              <w:topLinePunct w:val="0"/>
              <w:autoSpaceDE/>
              <w:autoSpaceDN/>
              <w:bidi w:val="0"/>
              <w:spacing w:line="60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3</w:t>
            </w:r>
          </w:p>
        </w:tc>
      </w:tr>
      <w:tr w14:paraId="710A77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EBCBEE">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000000"/>
                <w:sz w:val="18"/>
                <w:szCs w:val="18"/>
                <w:highlight w:val="none"/>
                <w:u w:val="none"/>
              </w:rPr>
            </w:pPr>
          </w:p>
        </w:tc>
        <w:tc>
          <w:tcPr>
            <w:tcW w:w="13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C68F3F">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部门结转结余资金管理</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6DCB3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结转结余率</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53A25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D943D8">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3</w:t>
            </w:r>
          </w:p>
        </w:tc>
      </w:tr>
      <w:tr w14:paraId="50855E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532FF2">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000000"/>
                <w:sz w:val="18"/>
                <w:szCs w:val="18"/>
                <w:highlight w:val="none"/>
                <w:u w:val="none"/>
              </w:rPr>
            </w:pPr>
          </w:p>
        </w:tc>
        <w:tc>
          <w:tcPr>
            <w:tcW w:w="13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E4BB65">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预决算信息公开管理</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BB272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预决算信息公开性、基础信息完善性</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ED5A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信息公开性、完善性</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D355FB">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3</w:t>
            </w:r>
          </w:p>
        </w:tc>
      </w:tr>
      <w:tr w14:paraId="6CDC66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762152">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000000"/>
                <w:sz w:val="18"/>
                <w:szCs w:val="18"/>
                <w:highlight w:val="none"/>
                <w:u w:val="none"/>
              </w:rPr>
            </w:pPr>
          </w:p>
        </w:tc>
        <w:tc>
          <w:tcPr>
            <w:tcW w:w="137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A11950E">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部门预算管理</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120F7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在职人员控制率</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D3500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8FC18">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3</w:t>
            </w:r>
          </w:p>
        </w:tc>
      </w:tr>
      <w:tr w14:paraId="45A33D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067D45">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000000"/>
                <w:sz w:val="18"/>
                <w:szCs w:val="18"/>
                <w:highlight w:val="none"/>
                <w:u w:val="none"/>
              </w:rPr>
            </w:pPr>
          </w:p>
        </w:tc>
        <w:tc>
          <w:tcPr>
            <w:tcW w:w="13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A3AEBA">
            <w:pPr>
              <w:keepNext w:val="0"/>
              <w:keepLines w:val="0"/>
              <w:pageBreakBefore w:val="0"/>
              <w:widowControl/>
              <w:kinsoku/>
              <w:wordWrap/>
              <w:overflowPunct/>
              <w:topLinePunct w:val="0"/>
              <w:autoSpaceDE/>
              <w:autoSpaceDN/>
              <w:bidi w:val="0"/>
              <w:adjustRightInd/>
              <w:snapToGrid/>
              <w:spacing w:line="240" w:lineRule="exact"/>
              <w:jc w:val="center"/>
              <w:rPr>
                <w:rFonts w:hint="eastAsia" w:ascii="宋体" w:hAnsi="宋体" w:eastAsia="宋体" w:cs="宋体"/>
                <w:i w:val="0"/>
                <w:iCs w:val="0"/>
                <w:color w:val="000000"/>
                <w:sz w:val="18"/>
                <w:szCs w:val="18"/>
                <w:highlight w:val="none"/>
                <w:u w:val="none"/>
              </w:rPr>
            </w:pP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78A0E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资金使用合规性</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76DBB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是否符合相关的预算财务管理制度的规定、预算资金的规范运行情况</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CC5C5A">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3</w:t>
            </w:r>
          </w:p>
        </w:tc>
      </w:tr>
      <w:tr w14:paraId="257243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396AA0">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000000"/>
                <w:sz w:val="18"/>
                <w:szCs w:val="18"/>
                <w:highlight w:val="none"/>
                <w:u w:val="none"/>
              </w:rPr>
            </w:pPr>
          </w:p>
        </w:tc>
        <w:tc>
          <w:tcPr>
            <w:tcW w:w="137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99F8CA5">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资产管理</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46A48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资产管理安全性</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27D1F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≥95%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D1C33">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3</w:t>
            </w:r>
          </w:p>
        </w:tc>
      </w:tr>
      <w:tr w14:paraId="681416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7760BF">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000000"/>
                <w:sz w:val="18"/>
                <w:szCs w:val="18"/>
                <w:highlight w:val="none"/>
                <w:u w:val="none"/>
              </w:rPr>
            </w:pPr>
          </w:p>
        </w:tc>
        <w:tc>
          <w:tcPr>
            <w:tcW w:w="13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F9613F">
            <w:pPr>
              <w:keepNext w:val="0"/>
              <w:keepLines w:val="0"/>
              <w:pageBreakBefore w:val="0"/>
              <w:widowControl/>
              <w:kinsoku/>
              <w:wordWrap/>
              <w:overflowPunct/>
              <w:topLinePunct w:val="0"/>
              <w:autoSpaceDE/>
              <w:autoSpaceDN/>
              <w:bidi w:val="0"/>
              <w:adjustRightInd/>
              <w:snapToGrid/>
              <w:spacing w:line="240" w:lineRule="exact"/>
              <w:jc w:val="center"/>
              <w:rPr>
                <w:rFonts w:hint="eastAsia" w:ascii="宋体" w:hAnsi="宋体" w:eastAsia="宋体" w:cs="宋体"/>
                <w:i w:val="0"/>
                <w:iCs w:val="0"/>
                <w:color w:val="000000"/>
                <w:sz w:val="18"/>
                <w:szCs w:val="18"/>
                <w:highlight w:val="none"/>
                <w:u w:val="none"/>
              </w:rPr>
            </w:pP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6A2C9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固定资产利用率</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247AB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≥95%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A7218D">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3</w:t>
            </w:r>
          </w:p>
        </w:tc>
      </w:tr>
      <w:tr w14:paraId="5D6F26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85" w:hRule="atLeast"/>
        </w:trPr>
        <w:tc>
          <w:tcPr>
            <w:tcW w:w="69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36F08D0">
            <w:pPr>
              <w:keepNext w:val="0"/>
              <w:keepLines w:val="0"/>
              <w:pageBreakBefore w:val="0"/>
              <w:widowControl/>
              <w:suppressLineNumbers w:val="0"/>
              <w:kinsoku/>
              <w:overflowPunct/>
              <w:topLinePunct w:val="0"/>
              <w:autoSpaceDE/>
              <w:autoSpaceDN/>
              <w:bidi w:val="0"/>
              <w:spacing w:line="60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产出指标</w:t>
            </w:r>
          </w:p>
        </w:tc>
        <w:tc>
          <w:tcPr>
            <w:tcW w:w="137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173A99C">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数量指标</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BB5C4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部门政务服务情况完成率</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9B20B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≥95%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DEA3A">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7</w:t>
            </w:r>
          </w:p>
        </w:tc>
      </w:tr>
      <w:tr w14:paraId="0072E5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043980">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000000"/>
                <w:sz w:val="18"/>
                <w:szCs w:val="18"/>
                <w:highlight w:val="none"/>
                <w:u w:val="none"/>
              </w:rPr>
            </w:pPr>
          </w:p>
        </w:tc>
        <w:tc>
          <w:tcPr>
            <w:tcW w:w="13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D26047">
            <w:pPr>
              <w:keepNext w:val="0"/>
              <w:keepLines w:val="0"/>
              <w:pageBreakBefore w:val="0"/>
              <w:widowControl/>
              <w:kinsoku/>
              <w:wordWrap/>
              <w:overflowPunct/>
              <w:topLinePunct w:val="0"/>
              <w:autoSpaceDE/>
              <w:autoSpaceDN/>
              <w:bidi w:val="0"/>
              <w:adjustRightInd/>
              <w:snapToGrid/>
              <w:spacing w:line="240" w:lineRule="exact"/>
              <w:jc w:val="center"/>
              <w:rPr>
                <w:rFonts w:hint="eastAsia" w:ascii="宋体" w:hAnsi="宋体" w:eastAsia="宋体" w:cs="宋体"/>
                <w:i w:val="0"/>
                <w:iCs w:val="0"/>
                <w:color w:val="000000"/>
                <w:sz w:val="18"/>
                <w:szCs w:val="18"/>
                <w:highlight w:val="none"/>
                <w:u w:val="none"/>
              </w:rPr>
            </w:pP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26AF0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部门年度重点工作完成率</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5EA3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≥95%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FFFD5F">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7</w:t>
            </w:r>
          </w:p>
        </w:tc>
      </w:tr>
      <w:tr w14:paraId="4255FF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6FADC7">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000000"/>
                <w:sz w:val="18"/>
                <w:szCs w:val="18"/>
                <w:highlight w:val="none"/>
                <w:u w:val="none"/>
              </w:rPr>
            </w:pPr>
          </w:p>
        </w:tc>
        <w:tc>
          <w:tcPr>
            <w:tcW w:w="13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DD2EB">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质量指标</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93D18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cs="宋体"/>
                <w:i w:val="0"/>
                <w:iCs w:val="0"/>
                <w:color w:val="000000"/>
                <w:sz w:val="18"/>
                <w:szCs w:val="18"/>
                <w:highlight w:val="none"/>
                <w:u w:val="none"/>
                <w:lang w:val="en-US" w:eastAsia="zh-CN"/>
              </w:rPr>
              <w:t>认真迎接各级各类督导检查，顺利通过率</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9E62D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≥95%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57EE3C">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8</w:t>
            </w:r>
          </w:p>
        </w:tc>
      </w:tr>
      <w:tr w14:paraId="411253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BED33E">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000000"/>
                <w:sz w:val="18"/>
                <w:szCs w:val="18"/>
                <w:highlight w:val="none"/>
                <w:u w:val="none"/>
              </w:rPr>
            </w:pPr>
          </w:p>
        </w:tc>
        <w:tc>
          <w:tcPr>
            <w:tcW w:w="13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44A7EE">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时效指标</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E0963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资金给付的及时性</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0DCCC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≥95%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9E9D7">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8</w:t>
            </w:r>
          </w:p>
        </w:tc>
      </w:tr>
      <w:tr w14:paraId="1062FD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9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7A4D7FC">
            <w:pPr>
              <w:keepNext w:val="0"/>
              <w:keepLines w:val="0"/>
              <w:pageBreakBefore w:val="0"/>
              <w:widowControl/>
              <w:suppressLineNumbers w:val="0"/>
              <w:kinsoku/>
              <w:overflowPunct/>
              <w:topLinePunct w:val="0"/>
              <w:autoSpaceDE/>
              <w:autoSpaceDN/>
              <w:bidi w:val="0"/>
              <w:spacing w:line="60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效果指标</w:t>
            </w:r>
          </w:p>
        </w:tc>
        <w:tc>
          <w:tcPr>
            <w:tcW w:w="13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579E9E">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经济效益指标</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D4E99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宋体"/>
                <w:i w:val="0"/>
                <w:iCs w:val="0"/>
                <w:color w:val="000000"/>
                <w:sz w:val="18"/>
                <w:szCs w:val="18"/>
                <w:highlight w:val="none"/>
                <w:u w:val="none"/>
                <w:lang w:val="en-US"/>
              </w:rPr>
            </w:pPr>
            <w:r>
              <w:rPr>
                <w:rFonts w:hint="eastAsia" w:ascii="宋体" w:hAnsi="宋体" w:eastAsia="宋体" w:cs="宋体"/>
                <w:i w:val="0"/>
                <w:iCs w:val="0"/>
                <w:color w:val="000000"/>
                <w:kern w:val="0"/>
                <w:sz w:val="18"/>
                <w:szCs w:val="18"/>
                <w:highlight w:val="none"/>
                <w:u w:val="none"/>
                <w:lang w:val="en-US" w:eastAsia="zh-CN" w:bidi="ar"/>
              </w:rPr>
              <w:t>预算执行率，财政资金发挥最大效益</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C3641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≥90%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B0B023">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宋体" w:hAnsi="宋体" w:eastAsia="宋体" w:cs="宋体"/>
                <w:i w:val="0"/>
                <w:iCs w:val="0"/>
                <w:color w:val="000000"/>
                <w:sz w:val="18"/>
                <w:szCs w:val="18"/>
                <w:highlight w:val="none"/>
                <w:u w:val="none"/>
                <w:lang w:val="en-US"/>
              </w:rPr>
            </w:pPr>
            <w:r>
              <w:rPr>
                <w:rFonts w:hint="eastAsia" w:ascii="宋体" w:hAnsi="宋体" w:eastAsia="宋体" w:cs="宋体"/>
                <w:i w:val="0"/>
                <w:iCs w:val="0"/>
                <w:color w:val="000000"/>
                <w:kern w:val="0"/>
                <w:sz w:val="18"/>
                <w:szCs w:val="18"/>
                <w:highlight w:val="none"/>
                <w:u w:val="none"/>
                <w:lang w:val="en-US" w:eastAsia="zh-CN" w:bidi="ar"/>
              </w:rPr>
              <w:t>10</w:t>
            </w:r>
          </w:p>
        </w:tc>
      </w:tr>
      <w:tr w14:paraId="5B5BFA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trPr>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BB24B0">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000000"/>
                <w:sz w:val="18"/>
                <w:szCs w:val="18"/>
                <w:highlight w:val="none"/>
                <w:u w:val="none"/>
              </w:rPr>
            </w:pPr>
          </w:p>
        </w:tc>
        <w:tc>
          <w:tcPr>
            <w:tcW w:w="137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00163FA">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社会效益指标</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AC112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办好学校教育,提升社会影响力</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F765AB">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提高社会影响力，得到广大师生的充分认可，提高学生入学率。</w:t>
            </w:r>
          </w:p>
        </w:tc>
        <w:tc>
          <w:tcPr>
            <w:tcW w:w="17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9E4781">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5</w:t>
            </w:r>
          </w:p>
        </w:tc>
      </w:tr>
      <w:tr w14:paraId="3601C8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DFBFB7">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000000"/>
                <w:sz w:val="18"/>
                <w:szCs w:val="18"/>
                <w:highlight w:val="none"/>
                <w:u w:val="none"/>
              </w:rPr>
            </w:pPr>
          </w:p>
        </w:tc>
        <w:tc>
          <w:tcPr>
            <w:tcW w:w="13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A103B8">
            <w:pPr>
              <w:keepNext w:val="0"/>
              <w:keepLines w:val="0"/>
              <w:pageBreakBefore w:val="0"/>
              <w:widowControl/>
              <w:kinsoku/>
              <w:wordWrap/>
              <w:overflowPunct/>
              <w:topLinePunct w:val="0"/>
              <w:autoSpaceDE/>
              <w:autoSpaceDN/>
              <w:bidi w:val="0"/>
              <w:adjustRightInd/>
              <w:snapToGrid/>
              <w:spacing w:line="240" w:lineRule="exact"/>
              <w:jc w:val="center"/>
              <w:rPr>
                <w:rFonts w:hint="eastAsia" w:ascii="宋体" w:hAnsi="宋体" w:eastAsia="宋体" w:cs="宋体"/>
                <w:i w:val="0"/>
                <w:iCs w:val="0"/>
                <w:color w:val="000000"/>
                <w:sz w:val="18"/>
                <w:szCs w:val="18"/>
                <w:highlight w:val="none"/>
                <w:u w:val="none"/>
              </w:rPr>
            </w:pP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35B59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改善办学条件,提高办学水平</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80FCB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促进各级各类教育进一步发展</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341517">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5</w:t>
            </w:r>
          </w:p>
        </w:tc>
      </w:tr>
      <w:tr w14:paraId="2765F0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B92A42">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000000"/>
                <w:sz w:val="18"/>
                <w:szCs w:val="18"/>
                <w:highlight w:val="none"/>
                <w:u w:val="none"/>
              </w:rPr>
            </w:pPr>
          </w:p>
        </w:tc>
        <w:tc>
          <w:tcPr>
            <w:tcW w:w="137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A5BAC78">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可持续发展能力</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C050D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cs="宋体"/>
                <w:i w:val="0"/>
                <w:iCs w:val="0"/>
                <w:color w:val="000000"/>
                <w:kern w:val="0"/>
                <w:sz w:val="18"/>
                <w:szCs w:val="18"/>
                <w:highlight w:val="none"/>
                <w:u w:val="none"/>
                <w:lang w:val="en-US" w:eastAsia="zh-CN" w:bidi="ar"/>
              </w:rPr>
              <w:t>困难</w:t>
            </w:r>
            <w:r>
              <w:rPr>
                <w:rFonts w:hint="eastAsia" w:ascii="宋体" w:hAnsi="宋体" w:eastAsia="宋体" w:cs="宋体"/>
                <w:i w:val="0"/>
                <w:iCs w:val="0"/>
                <w:color w:val="000000"/>
                <w:kern w:val="0"/>
                <w:sz w:val="18"/>
                <w:szCs w:val="18"/>
                <w:highlight w:val="none"/>
                <w:u w:val="none"/>
                <w:lang w:val="en-US" w:eastAsia="zh-CN" w:bidi="ar"/>
              </w:rPr>
              <w:t>学生</w:t>
            </w:r>
            <w:r>
              <w:rPr>
                <w:rFonts w:hint="eastAsia" w:ascii="宋体" w:hAnsi="宋体" w:cs="宋体"/>
                <w:i w:val="0"/>
                <w:iCs w:val="0"/>
                <w:color w:val="000000"/>
                <w:kern w:val="0"/>
                <w:sz w:val="18"/>
                <w:szCs w:val="18"/>
                <w:highlight w:val="none"/>
                <w:u w:val="none"/>
                <w:lang w:val="en-US" w:eastAsia="zh-CN" w:bidi="ar"/>
              </w:rPr>
              <w:t>安心</w:t>
            </w:r>
            <w:r>
              <w:rPr>
                <w:rFonts w:hint="eastAsia" w:ascii="宋体" w:hAnsi="宋体" w:eastAsia="宋体" w:cs="宋体"/>
                <w:i w:val="0"/>
                <w:iCs w:val="0"/>
                <w:color w:val="000000"/>
                <w:kern w:val="0"/>
                <w:sz w:val="18"/>
                <w:szCs w:val="18"/>
                <w:highlight w:val="none"/>
                <w:u w:val="none"/>
                <w:lang w:val="en-US" w:eastAsia="zh-CN" w:bidi="ar"/>
              </w:rPr>
              <w:t>学习</w:t>
            </w:r>
            <w:r>
              <w:rPr>
                <w:rFonts w:hint="eastAsia" w:ascii="宋体" w:hAnsi="宋体" w:cs="宋体"/>
                <w:i w:val="0"/>
                <w:iCs w:val="0"/>
                <w:color w:val="000000"/>
                <w:kern w:val="0"/>
                <w:sz w:val="18"/>
                <w:szCs w:val="18"/>
                <w:highlight w:val="none"/>
                <w:u w:val="none"/>
                <w:lang w:val="en-US" w:eastAsia="zh-CN" w:bidi="ar"/>
              </w:rPr>
              <w:t>，顺利完成学业，持续推动教育公平。</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61FF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cs="宋体"/>
                <w:i w:val="0"/>
                <w:iCs w:val="0"/>
                <w:color w:val="000000"/>
                <w:kern w:val="0"/>
                <w:sz w:val="18"/>
                <w:szCs w:val="18"/>
                <w:highlight w:val="none"/>
                <w:u w:val="none"/>
                <w:lang w:val="en-US" w:eastAsia="zh-CN" w:bidi="ar"/>
              </w:rPr>
              <w:t>困难</w:t>
            </w:r>
            <w:r>
              <w:rPr>
                <w:rFonts w:hint="eastAsia" w:ascii="宋体" w:hAnsi="宋体" w:eastAsia="宋体" w:cs="宋体"/>
                <w:i w:val="0"/>
                <w:iCs w:val="0"/>
                <w:color w:val="000000"/>
                <w:kern w:val="0"/>
                <w:sz w:val="18"/>
                <w:szCs w:val="18"/>
                <w:highlight w:val="none"/>
                <w:u w:val="none"/>
                <w:lang w:val="en-US" w:eastAsia="zh-CN" w:bidi="ar"/>
              </w:rPr>
              <w:t>学生</w:t>
            </w:r>
            <w:r>
              <w:rPr>
                <w:rFonts w:hint="eastAsia" w:ascii="宋体" w:hAnsi="宋体" w:cs="宋体"/>
                <w:i w:val="0"/>
                <w:iCs w:val="0"/>
                <w:color w:val="000000"/>
                <w:kern w:val="0"/>
                <w:sz w:val="18"/>
                <w:szCs w:val="18"/>
                <w:highlight w:val="none"/>
                <w:u w:val="none"/>
                <w:lang w:val="en-US" w:eastAsia="zh-CN" w:bidi="ar"/>
              </w:rPr>
              <w:t>安心</w:t>
            </w:r>
            <w:r>
              <w:rPr>
                <w:rFonts w:hint="eastAsia" w:ascii="宋体" w:hAnsi="宋体" w:eastAsia="宋体" w:cs="宋体"/>
                <w:i w:val="0"/>
                <w:iCs w:val="0"/>
                <w:color w:val="000000"/>
                <w:kern w:val="0"/>
                <w:sz w:val="18"/>
                <w:szCs w:val="18"/>
                <w:highlight w:val="none"/>
                <w:u w:val="none"/>
                <w:lang w:val="en-US" w:eastAsia="zh-CN" w:bidi="ar"/>
              </w:rPr>
              <w:t>学习</w:t>
            </w:r>
            <w:r>
              <w:rPr>
                <w:rFonts w:hint="eastAsia" w:ascii="宋体" w:hAnsi="宋体" w:cs="宋体"/>
                <w:i w:val="0"/>
                <w:iCs w:val="0"/>
                <w:color w:val="000000"/>
                <w:kern w:val="0"/>
                <w:sz w:val="18"/>
                <w:szCs w:val="18"/>
                <w:highlight w:val="none"/>
                <w:u w:val="none"/>
                <w:lang w:val="en-US" w:eastAsia="zh-CN" w:bidi="ar"/>
              </w:rPr>
              <w:t>，顺利完成学业，持续推动教育公平。</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578A75">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5</w:t>
            </w:r>
          </w:p>
        </w:tc>
      </w:tr>
      <w:tr w14:paraId="2E67A8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trPr>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CE58D1">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000000"/>
                <w:sz w:val="18"/>
                <w:szCs w:val="18"/>
                <w:highlight w:val="none"/>
                <w:u w:val="none"/>
              </w:rPr>
            </w:pPr>
          </w:p>
        </w:tc>
        <w:tc>
          <w:tcPr>
            <w:tcW w:w="13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22D901">
            <w:pPr>
              <w:keepNext w:val="0"/>
              <w:keepLines w:val="0"/>
              <w:pageBreakBefore w:val="0"/>
              <w:widowControl/>
              <w:kinsoku/>
              <w:wordWrap/>
              <w:overflowPunct/>
              <w:topLinePunct w:val="0"/>
              <w:autoSpaceDE/>
              <w:autoSpaceDN/>
              <w:bidi w:val="0"/>
              <w:adjustRightInd/>
              <w:snapToGrid/>
              <w:spacing w:line="240" w:lineRule="exact"/>
              <w:jc w:val="center"/>
              <w:rPr>
                <w:rFonts w:hint="eastAsia" w:ascii="宋体" w:hAnsi="宋体" w:eastAsia="宋体" w:cs="宋体"/>
                <w:i w:val="0"/>
                <w:iCs w:val="0"/>
                <w:color w:val="000000"/>
                <w:sz w:val="18"/>
                <w:szCs w:val="18"/>
                <w:highlight w:val="none"/>
                <w:u w:val="none"/>
              </w:rPr>
            </w:pP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DC1B6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教育部门工作持续发展</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80FD4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教育部门工作持续、平稳、优质、高效发展</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E9F35E">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5</w:t>
            </w:r>
          </w:p>
        </w:tc>
      </w:tr>
      <w:tr w14:paraId="181A6F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D4F785">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满意度指标</w:t>
            </w:r>
          </w:p>
        </w:tc>
        <w:tc>
          <w:tcPr>
            <w:tcW w:w="13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28CEEB">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满意度指标</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FD34E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服务对象满意度</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9E20F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≥95%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CDAB54">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w:t>
            </w:r>
          </w:p>
        </w:tc>
      </w:tr>
    </w:tbl>
    <w:p w14:paraId="5B6F99B3">
      <w:pPr>
        <w:keepNext w:val="0"/>
        <w:keepLines w:val="0"/>
        <w:pageBreakBefore w:val="0"/>
        <w:kinsoku/>
        <w:wordWrap/>
        <w:overflowPunct/>
        <w:topLinePunct w:val="0"/>
        <w:autoSpaceDE/>
        <w:autoSpaceDN/>
        <w:bidi w:val="0"/>
        <w:adjustRightInd w:val="0"/>
        <w:snapToGrid w:val="0"/>
        <w:spacing w:line="560" w:lineRule="exact"/>
        <w:ind w:firstLine="640" w:firstLineChars="200"/>
        <w:textAlignment w:val="auto"/>
        <w:rPr>
          <w:rFonts w:ascii="黑体" w:hAnsi="黑体" w:eastAsia="黑体"/>
          <w:sz w:val="32"/>
          <w:szCs w:val="32"/>
        </w:rPr>
      </w:pPr>
      <w:r>
        <w:rPr>
          <w:rFonts w:hint="eastAsia" w:ascii="方正黑体简体" w:hAnsi="方正黑体简体" w:eastAsia="方正黑体简体" w:cs="方正黑体简体"/>
          <w:sz w:val="32"/>
          <w:szCs w:val="32"/>
        </w:rPr>
        <w:t>二、自评工作开展情况</w:t>
      </w:r>
    </w:p>
    <w:p w14:paraId="64788031">
      <w:pPr>
        <w:keepNext w:val="0"/>
        <w:keepLines w:val="0"/>
        <w:pageBreakBefore w:val="0"/>
        <w:kinsoku/>
        <w:wordWrap/>
        <w:overflowPunct/>
        <w:topLinePunct w:val="0"/>
        <w:autoSpaceDE/>
        <w:autoSpaceDN/>
        <w:bidi w:val="0"/>
        <w:spacing w:line="560" w:lineRule="exact"/>
        <w:textAlignment w:val="auto"/>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方正楷体简体" w:hAnsi="方正楷体简体" w:eastAsia="方正楷体简体" w:cs="方正楷体简体"/>
          <w:b/>
          <w:bCs w:val="0"/>
          <w:sz w:val="32"/>
          <w:szCs w:val="32"/>
        </w:rPr>
        <w:t>（一）自评的组织工作</w:t>
      </w:r>
    </w:p>
    <w:p w14:paraId="78A6B198">
      <w:pPr>
        <w:keepNext w:val="0"/>
        <w:keepLines w:val="0"/>
        <w:pageBreakBefore w:val="0"/>
        <w:kinsoku/>
        <w:wordWrap/>
        <w:overflowPunct/>
        <w:topLinePunct w:val="0"/>
        <w:autoSpaceDE/>
        <w:autoSpaceDN/>
        <w:bidi w:val="0"/>
        <w:adjustRightInd/>
        <w:snapToGrid/>
        <w:spacing w:line="560" w:lineRule="exact"/>
        <w:ind w:left="0" w:leftChars="0" w:firstLine="640" w:firstLineChars="200"/>
        <w:jc w:val="both"/>
        <w:textAlignment w:val="auto"/>
        <w:outlineLvl w:val="9"/>
        <w:rPr>
          <w:rFonts w:hint="eastAsia" w:ascii="方正仿宋简体" w:hAnsi="方正仿宋简体" w:eastAsia="方正仿宋简体" w:cs="方正仿宋简体"/>
          <w:color w:val="auto"/>
          <w:sz w:val="32"/>
          <w:szCs w:val="32"/>
          <w:highlight w:val="none"/>
          <w:shd w:val="clear" w:color="auto" w:fill="FFFFFF"/>
        </w:rPr>
      </w:pPr>
      <w:r>
        <w:rPr>
          <w:rFonts w:hint="eastAsia" w:ascii="方正仿宋简体" w:hAnsi="方正仿宋简体" w:eastAsia="方正仿宋简体" w:cs="方正仿宋简体"/>
          <w:color w:val="auto"/>
          <w:sz w:val="32"/>
          <w:szCs w:val="32"/>
          <w:highlight w:val="none"/>
        </w:rPr>
        <w:t>根据《</w:t>
      </w:r>
      <w:r>
        <w:rPr>
          <w:rFonts w:hint="eastAsia" w:ascii="方正仿宋简体" w:hAnsi="方正仿宋简体" w:eastAsia="方正仿宋简体" w:cs="方正仿宋简体"/>
          <w:color w:val="auto"/>
          <w:sz w:val="32"/>
          <w:szCs w:val="32"/>
          <w:highlight w:val="none"/>
          <w:lang w:val="en-US" w:eastAsia="zh-CN"/>
        </w:rPr>
        <w:t>中华人民共和国</w:t>
      </w:r>
      <w:bookmarkStart w:id="4" w:name="_GoBack"/>
      <w:bookmarkEnd w:id="4"/>
      <w:r>
        <w:rPr>
          <w:rFonts w:hint="eastAsia" w:ascii="方正仿宋简体" w:hAnsi="方正仿宋简体" w:eastAsia="方正仿宋简体" w:cs="方正仿宋简体"/>
          <w:color w:val="auto"/>
          <w:sz w:val="32"/>
          <w:szCs w:val="32"/>
          <w:highlight w:val="none"/>
        </w:rPr>
        <w:t>会计法》《</w:t>
      </w:r>
      <w:r>
        <w:rPr>
          <w:rFonts w:hint="eastAsia" w:ascii="方正仿宋简体" w:hAnsi="方正仿宋简体" w:eastAsia="方正仿宋简体" w:cs="方正仿宋简体"/>
          <w:color w:val="auto"/>
          <w:sz w:val="32"/>
          <w:szCs w:val="32"/>
          <w:highlight w:val="none"/>
          <w:lang w:val="en-US" w:eastAsia="zh-CN"/>
        </w:rPr>
        <w:t>中华人民共和国</w:t>
      </w:r>
      <w:r>
        <w:rPr>
          <w:rFonts w:hint="eastAsia" w:ascii="方正仿宋简体" w:hAnsi="方正仿宋简体" w:eastAsia="方正仿宋简体" w:cs="方正仿宋简体"/>
          <w:color w:val="auto"/>
          <w:sz w:val="32"/>
          <w:szCs w:val="32"/>
          <w:highlight w:val="none"/>
        </w:rPr>
        <w:t>预算法》《行政事业单位财务规则》规定，</w:t>
      </w:r>
      <w:r>
        <w:rPr>
          <w:rFonts w:hint="eastAsia" w:ascii="方正仿宋简体" w:hAnsi="方正仿宋简体" w:eastAsia="方正仿宋简体" w:cs="方正仿宋简体"/>
          <w:color w:val="auto"/>
          <w:sz w:val="32"/>
          <w:szCs w:val="32"/>
          <w:highlight w:val="none"/>
          <w:shd w:val="clear" w:color="auto" w:fill="FFFFFF"/>
        </w:rPr>
        <w:t>严格按照专项资金管理制度认真落实专项资金专款专用</w:t>
      </w:r>
      <w:r>
        <w:rPr>
          <w:rFonts w:hint="eastAsia" w:ascii="方正仿宋简体" w:hAnsi="方正仿宋简体" w:eastAsia="方正仿宋简体" w:cs="方正仿宋简体"/>
          <w:color w:val="auto"/>
          <w:sz w:val="32"/>
          <w:szCs w:val="32"/>
          <w:highlight w:val="none"/>
          <w:shd w:val="clear" w:color="auto" w:fill="FFFFFF"/>
          <w:lang w:eastAsia="zh-CN"/>
        </w:rPr>
        <w:t>，</w:t>
      </w:r>
      <w:r>
        <w:rPr>
          <w:rFonts w:hint="eastAsia" w:ascii="方正仿宋简体" w:hAnsi="方正仿宋简体" w:eastAsia="方正仿宋简体" w:cs="方正仿宋简体"/>
          <w:color w:val="auto"/>
          <w:sz w:val="32"/>
          <w:szCs w:val="32"/>
          <w:highlight w:val="none"/>
          <w:shd w:val="clear" w:color="auto" w:fill="FFFFFF"/>
        </w:rPr>
        <w:t>确保专项资金使用达到实效。</w:t>
      </w:r>
    </w:p>
    <w:p w14:paraId="475FDFC4">
      <w:pPr>
        <w:pStyle w:val="5"/>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60" w:lineRule="exact"/>
        <w:ind w:left="0" w:leftChars="0" w:firstLine="640" w:firstLineChars="200"/>
        <w:jc w:val="both"/>
        <w:textAlignment w:val="auto"/>
        <w:outlineLvl w:val="9"/>
        <w:rPr>
          <w:rFonts w:ascii="仿宋" w:hAnsi="仿宋" w:eastAsia="仿宋"/>
          <w:sz w:val="32"/>
          <w:szCs w:val="32"/>
        </w:rPr>
      </w:pPr>
      <w:r>
        <w:rPr>
          <w:rFonts w:hint="eastAsia" w:ascii="方正仿宋简体" w:hAnsi="方正仿宋简体" w:eastAsia="方正仿宋简体" w:cs="方正仿宋简体"/>
          <w:color w:val="auto"/>
          <w:sz w:val="32"/>
          <w:szCs w:val="32"/>
          <w:highlight w:val="none"/>
        </w:rPr>
        <w:t>资金拨付有完整的审批程序和手续；项目资金按规定机关评估论证，支出符合专项资金的用途，资金使用无截留、挤占、挪用、虚列支出等情况，较好地发挥了项目资金使用效益和社会效益，达到了项目所设立的绩效目标。</w:t>
      </w:r>
    </w:p>
    <w:p w14:paraId="7A907810">
      <w:pPr>
        <w:keepNext w:val="0"/>
        <w:keepLines w:val="0"/>
        <w:pageBreakBefore w:val="0"/>
        <w:numPr>
          <w:ilvl w:val="0"/>
          <w:numId w:val="0"/>
        </w:numPr>
        <w:kinsoku/>
        <w:wordWrap/>
        <w:overflowPunct/>
        <w:topLinePunct w:val="0"/>
        <w:autoSpaceDE/>
        <w:autoSpaceDN/>
        <w:bidi w:val="0"/>
        <w:spacing w:line="560" w:lineRule="exact"/>
        <w:ind w:firstLine="643" w:firstLineChars="200"/>
        <w:textAlignment w:val="auto"/>
        <w:rPr>
          <w:rFonts w:hint="eastAsia" w:ascii="方正楷体简体" w:hAnsi="方正楷体简体" w:eastAsia="方正楷体简体" w:cs="方正楷体简体"/>
          <w:b/>
          <w:bCs w:val="0"/>
          <w:sz w:val="32"/>
          <w:szCs w:val="32"/>
        </w:rPr>
      </w:pPr>
      <w:r>
        <w:rPr>
          <w:rFonts w:hint="eastAsia" w:ascii="方正楷体简体" w:hAnsi="方正楷体简体" w:eastAsia="方正楷体简体" w:cs="方正楷体简体"/>
          <w:b/>
          <w:bCs w:val="0"/>
          <w:sz w:val="32"/>
          <w:szCs w:val="32"/>
          <w:lang w:eastAsia="zh-CN"/>
        </w:rPr>
        <w:t>（</w:t>
      </w:r>
      <w:r>
        <w:rPr>
          <w:rFonts w:hint="eastAsia" w:ascii="方正楷体简体" w:hAnsi="方正楷体简体" w:eastAsia="方正楷体简体" w:cs="方正楷体简体"/>
          <w:b/>
          <w:bCs w:val="0"/>
          <w:sz w:val="32"/>
          <w:szCs w:val="32"/>
          <w:lang w:val="en-US" w:eastAsia="zh-CN"/>
        </w:rPr>
        <w:t>二</w:t>
      </w:r>
      <w:r>
        <w:rPr>
          <w:rFonts w:hint="eastAsia" w:ascii="方正楷体简体" w:hAnsi="方正楷体简体" w:eastAsia="方正楷体简体" w:cs="方正楷体简体"/>
          <w:b/>
          <w:bCs w:val="0"/>
          <w:sz w:val="32"/>
          <w:szCs w:val="32"/>
          <w:lang w:eastAsia="zh-CN"/>
        </w:rPr>
        <w:t>）</w:t>
      </w:r>
      <w:r>
        <w:rPr>
          <w:rFonts w:hint="eastAsia" w:ascii="方正楷体简体" w:hAnsi="方正楷体简体" w:eastAsia="方正楷体简体" w:cs="方正楷体简体"/>
          <w:b/>
          <w:bCs w:val="0"/>
          <w:sz w:val="32"/>
          <w:szCs w:val="32"/>
        </w:rPr>
        <w:t>自评的方法和过程</w:t>
      </w:r>
    </w:p>
    <w:p w14:paraId="0010846E">
      <w:pPr>
        <w:keepNext w:val="0"/>
        <w:keepLines w:val="0"/>
        <w:pageBreakBefore w:val="0"/>
        <w:kinsoku/>
        <w:wordWrap/>
        <w:overflowPunct/>
        <w:topLinePunct w:val="0"/>
        <w:autoSpaceDE/>
        <w:autoSpaceDN/>
        <w:bidi w:val="0"/>
        <w:adjustRightInd/>
        <w:snapToGrid/>
        <w:spacing w:line="560" w:lineRule="exact"/>
        <w:ind w:left="0" w:leftChars="0" w:firstLine="643" w:firstLineChars="200"/>
        <w:jc w:val="both"/>
        <w:textAlignment w:val="auto"/>
        <w:outlineLvl w:val="9"/>
        <w:rPr>
          <w:rFonts w:hint="eastAsia" w:ascii="方正仿宋简体" w:hAnsi="方正仿宋简体" w:eastAsia="方正仿宋简体" w:cs="方正仿宋简体"/>
          <w:color w:val="auto"/>
          <w:sz w:val="32"/>
          <w:szCs w:val="32"/>
          <w:highlight w:val="none"/>
          <w:shd w:val="clear" w:color="auto" w:fill="FFFFFF"/>
        </w:rPr>
      </w:pPr>
      <w:r>
        <w:rPr>
          <w:rFonts w:hint="eastAsia" w:ascii="方正仿宋简体" w:hAnsi="方正仿宋简体" w:eastAsia="方正仿宋简体" w:cs="方正仿宋简体"/>
          <w:b/>
          <w:bCs/>
          <w:color w:val="auto"/>
          <w:sz w:val="32"/>
          <w:szCs w:val="32"/>
          <w:highlight w:val="none"/>
          <w:shd w:val="clear" w:color="auto" w:fill="FFFFFF"/>
        </w:rPr>
        <w:t>1.评价方法：</w:t>
      </w:r>
      <w:r>
        <w:rPr>
          <w:rFonts w:hint="eastAsia" w:ascii="方正仿宋简体" w:hAnsi="方正仿宋简体" w:eastAsia="方正仿宋简体" w:cs="方正仿宋简体"/>
          <w:color w:val="auto"/>
          <w:sz w:val="32"/>
          <w:szCs w:val="32"/>
          <w:highlight w:val="none"/>
          <w:shd w:val="clear" w:color="auto" w:fill="FFFFFF"/>
        </w:rPr>
        <w:t>一是对照“部门整体支出绩效评价指标体系评分表”的主要考评内容及工作完成情况，对照当年工作计划和上级交办的各项工作内容，进行自评、复核，形成总体得分。二是组织纳入部门整体支出绩效评价范围的项目，实施绩效自评。</w:t>
      </w:r>
    </w:p>
    <w:p w14:paraId="6979BD32">
      <w:pPr>
        <w:pStyle w:val="2"/>
        <w:keepNext w:val="0"/>
        <w:keepLines w:val="0"/>
        <w:pageBreakBefore w:val="0"/>
        <w:kinsoku/>
        <w:wordWrap/>
        <w:overflowPunct/>
        <w:topLinePunct w:val="0"/>
        <w:autoSpaceDE/>
        <w:autoSpaceDN/>
        <w:bidi w:val="0"/>
        <w:spacing w:after="0" w:afterLines="0" w:line="560" w:lineRule="exact"/>
        <w:ind w:firstLine="643" w:firstLineChars="200"/>
        <w:textAlignment w:val="auto"/>
      </w:pPr>
      <w:r>
        <w:rPr>
          <w:rFonts w:hint="eastAsia" w:ascii="方正仿宋简体" w:hAnsi="方正仿宋简体" w:eastAsia="方正仿宋简体" w:cs="方正仿宋简体"/>
          <w:b/>
          <w:bCs/>
          <w:color w:val="auto"/>
          <w:sz w:val="32"/>
          <w:szCs w:val="32"/>
          <w:highlight w:val="none"/>
          <w:shd w:val="clear" w:color="auto" w:fill="FFFFFF"/>
        </w:rPr>
        <w:t>2.实施过程：</w:t>
      </w:r>
      <w:r>
        <w:rPr>
          <w:rFonts w:hint="eastAsia" w:ascii="方正仿宋简体" w:hAnsi="方正仿宋简体" w:eastAsia="方正仿宋简体" w:cs="方正仿宋简体"/>
          <w:color w:val="auto"/>
          <w:sz w:val="32"/>
          <w:szCs w:val="32"/>
          <w:highlight w:val="none"/>
          <w:shd w:val="clear" w:color="auto" w:fill="FFFFFF"/>
        </w:rPr>
        <w:t>成立项目自评小组，主管局长任组长，各科室负责人任副组长，科室成员任小组成员。项目执行科室为项目自评的组织科室，负责项目工作的组织、实施、自评。通过填写“县级部门预算项目绩效自评表”，撰写“自评报告”形式，进行自评。</w:t>
      </w:r>
    </w:p>
    <w:p w14:paraId="48205782">
      <w:pPr>
        <w:keepNext w:val="0"/>
        <w:keepLines w:val="0"/>
        <w:pageBreakBefore w:val="0"/>
        <w:kinsoku/>
        <w:wordWrap/>
        <w:overflowPunct/>
        <w:topLinePunct w:val="0"/>
        <w:autoSpaceDE/>
        <w:autoSpaceDN/>
        <w:bidi w:val="0"/>
        <w:spacing w:line="560" w:lineRule="exact"/>
        <w:textAlignment w:val="auto"/>
        <w:rPr>
          <w:rFonts w:ascii="黑体" w:hAnsi="黑体" w:eastAsia="黑体"/>
          <w:b/>
          <w:bCs/>
          <w:sz w:val="32"/>
          <w:szCs w:val="32"/>
        </w:rPr>
      </w:pPr>
      <w:r>
        <w:rPr>
          <w:rFonts w:hint="eastAsia" w:ascii="黑体" w:hAnsi="黑体" w:eastAsia="黑体"/>
          <w:sz w:val="32"/>
          <w:szCs w:val="32"/>
        </w:rPr>
        <w:t xml:space="preserve">    </w:t>
      </w:r>
      <w:r>
        <w:rPr>
          <w:rFonts w:hint="eastAsia" w:ascii="方正黑体简体" w:hAnsi="方正黑体简体" w:eastAsia="方正黑体简体" w:cs="方正黑体简体"/>
          <w:sz w:val="32"/>
          <w:szCs w:val="32"/>
        </w:rPr>
        <w:t>三、部门整体支出绩效目标实现情况及指标分析</w:t>
      </w:r>
    </w:p>
    <w:p w14:paraId="43FC9591">
      <w:pPr>
        <w:numPr>
          <w:ilvl w:val="0"/>
          <w:numId w:val="0"/>
        </w:numPr>
        <w:spacing w:line="560" w:lineRule="exact"/>
        <w:ind w:firstLine="643" w:firstLineChars="200"/>
        <w:rPr>
          <w:rFonts w:ascii="楷体" w:hAnsi="楷体" w:eastAsia="楷体" w:cs="楷体_GB2312"/>
          <w:bCs/>
          <w:sz w:val="32"/>
          <w:szCs w:val="32"/>
        </w:rPr>
      </w:pPr>
      <w:r>
        <w:rPr>
          <w:rFonts w:hint="eastAsia" w:ascii="方正楷体简体" w:hAnsi="方正楷体简体" w:eastAsia="方正楷体简体" w:cs="方正楷体简体"/>
          <w:b/>
          <w:bCs w:val="0"/>
          <w:sz w:val="32"/>
          <w:szCs w:val="32"/>
          <w:lang w:eastAsia="zh-CN"/>
        </w:rPr>
        <w:t>（</w:t>
      </w:r>
      <w:r>
        <w:rPr>
          <w:rFonts w:hint="eastAsia" w:ascii="方正楷体简体" w:hAnsi="方正楷体简体" w:eastAsia="方正楷体简体" w:cs="方正楷体简体"/>
          <w:b/>
          <w:bCs w:val="0"/>
          <w:sz w:val="32"/>
          <w:szCs w:val="32"/>
          <w:lang w:val="en-US" w:eastAsia="zh-CN"/>
        </w:rPr>
        <w:t>一</w:t>
      </w:r>
      <w:r>
        <w:rPr>
          <w:rFonts w:hint="eastAsia" w:ascii="方正楷体简体" w:hAnsi="方正楷体简体" w:eastAsia="方正楷体简体" w:cs="方正楷体简体"/>
          <w:b/>
          <w:bCs w:val="0"/>
          <w:sz w:val="32"/>
          <w:szCs w:val="32"/>
          <w:lang w:eastAsia="zh-CN"/>
        </w:rPr>
        <w:t>）</w:t>
      </w:r>
      <w:r>
        <w:rPr>
          <w:rFonts w:hint="eastAsia" w:ascii="方正楷体简体" w:hAnsi="方正楷体简体" w:eastAsia="方正楷体简体" w:cs="方正楷体简体"/>
          <w:b/>
          <w:bCs w:val="0"/>
          <w:sz w:val="32"/>
          <w:szCs w:val="32"/>
        </w:rPr>
        <w:t>总体绩效目标实现情况</w:t>
      </w:r>
    </w:p>
    <w:p w14:paraId="6555DFB2">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firstLine="643" w:firstLineChars="200"/>
        <w:textAlignment w:val="auto"/>
        <w:rPr>
          <w:rFonts w:hint="eastAsia" w:ascii="方正仿宋简体" w:hAnsi="方正仿宋简体" w:eastAsia="方正仿宋简体" w:cs="方正仿宋简体"/>
          <w:color w:val="auto"/>
          <w:sz w:val="32"/>
          <w:szCs w:val="32"/>
          <w:highlight w:val="none"/>
          <w:lang w:val="en-US" w:eastAsia="zh-CN"/>
        </w:rPr>
      </w:pPr>
      <w:r>
        <w:rPr>
          <w:rFonts w:hint="eastAsia" w:ascii="方正仿宋简体" w:hAnsi="方正仿宋简体" w:eastAsia="方正仿宋简体" w:cs="方正仿宋简体"/>
          <w:b/>
          <w:bCs/>
          <w:sz w:val="32"/>
          <w:szCs w:val="32"/>
          <w:lang w:val="en-US" w:eastAsia="zh-CN"/>
        </w:rPr>
        <w:t>1.资金执行情况。</w:t>
      </w:r>
      <w:r>
        <w:rPr>
          <w:rFonts w:hint="eastAsia" w:ascii="方正仿宋简体" w:hAnsi="方正仿宋简体" w:eastAsia="方正仿宋简体" w:cs="方正仿宋简体"/>
          <w:sz w:val="32"/>
          <w:szCs w:val="32"/>
          <w:lang w:val="en-US" w:eastAsia="zh-CN"/>
        </w:rPr>
        <w:t>2024年我部门年度预算安排项目89个，预算资金13842.245115万元，执行资金13238.344246万元，预算执行率为</w:t>
      </w:r>
      <w:bookmarkStart w:id="1" w:name="OLE_LINK2"/>
      <w:r>
        <w:rPr>
          <w:rFonts w:hint="eastAsia" w:ascii="方正仿宋简体" w:hAnsi="方正仿宋简体" w:eastAsia="方正仿宋简体" w:cs="方正仿宋简体"/>
          <w:sz w:val="32"/>
          <w:szCs w:val="32"/>
          <w:lang w:val="en-US" w:eastAsia="zh-CN"/>
        </w:rPr>
        <w:t>95.64</w:t>
      </w:r>
      <w:bookmarkEnd w:id="1"/>
      <w:r>
        <w:rPr>
          <w:rFonts w:hint="eastAsia" w:ascii="方正仿宋简体" w:hAnsi="方正仿宋简体" w:eastAsia="方正仿宋简体" w:cs="方正仿宋简体"/>
          <w:sz w:val="32"/>
          <w:szCs w:val="32"/>
          <w:lang w:val="en-US" w:eastAsia="zh-CN"/>
        </w:rPr>
        <w:t>%，结余资金603.900869万元，资金结转结余率4.36%</w:t>
      </w:r>
      <w:r>
        <w:rPr>
          <w:rFonts w:hint="eastAsia" w:ascii="方正仿宋简体" w:hAnsi="方正仿宋简体" w:eastAsia="方正仿宋简体" w:cs="方正仿宋简体"/>
          <w:color w:val="auto"/>
          <w:sz w:val="32"/>
          <w:szCs w:val="32"/>
          <w:highlight w:val="none"/>
          <w:lang w:eastAsia="zh-CN"/>
        </w:rPr>
        <w:t>。</w:t>
      </w:r>
      <w:r>
        <w:rPr>
          <w:rFonts w:hint="eastAsia" w:ascii="方正仿宋简体" w:hAnsi="方正仿宋简体" w:eastAsia="方正仿宋简体" w:cs="方正仿宋简体"/>
          <w:color w:val="auto"/>
          <w:sz w:val="32"/>
          <w:szCs w:val="32"/>
          <w:highlight w:val="none"/>
          <w:lang w:val="en-US" w:eastAsia="zh-CN"/>
        </w:rPr>
        <w:t>其中，一般公共预算安排项目81个，预算资金13016.123015万元，执行资金12698.996015万元，预算资金执行率97.56%，结余资金317.127万元，</w:t>
      </w:r>
      <w:r>
        <w:rPr>
          <w:rFonts w:hint="eastAsia" w:ascii="方正仿宋简体" w:hAnsi="方正仿宋简体" w:eastAsia="方正仿宋简体" w:cs="方正仿宋简体"/>
          <w:color w:val="auto"/>
          <w:sz w:val="32"/>
          <w:szCs w:val="32"/>
          <w:highlight w:val="none"/>
        </w:rPr>
        <w:t>项目</w:t>
      </w:r>
      <w:r>
        <w:rPr>
          <w:rFonts w:hint="eastAsia" w:ascii="方正仿宋简体" w:hAnsi="方正仿宋简体" w:eastAsia="方正仿宋简体" w:cs="方正仿宋简体"/>
          <w:color w:val="auto"/>
          <w:sz w:val="32"/>
          <w:szCs w:val="32"/>
          <w:highlight w:val="none"/>
          <w:lang w:val="en-US" w:eastAsia="zh-CN"/>
        </w:rPr>
        <w:t>资金</w:t>
      </w:r>
      <w:r>
        <w:rPr>
          <w:rFonts w:hint="eastAsia" w:ascii="方正仿宋简体" w:hAnsi="方正仿宋简体" w:eastAsia="方正仿宋简体" w:cs="方正仿宋简体"/>
          <w:color w:val="auto"/>
          <w:sz w:val="32"/>
          <w:szCs w:val="32"/>
          <w:highlight w:val="none"/>
        </w:rPr>
        <w:t>主要用于</w:t>
      </w:r>
      <w:r>
        <w:rPr>
          <w:rFonts w:hint="eastAsia" w:ascii="方正仿宋简体" w:hAnsi="方正仿宋简体" w:eastAsia="方正仿宋简体" w:cs="方正仿宋简体"/>
          <w:color w:val="auto"/>
          <w:sz w:val="32"/>
          <w:szCs w:val="32"/>
          <w:highlight w:val="none"/>
          <w:lang w:val="en-US" w:eastAsia="zh-CN"/>
        </w:rPr>
        <w:t>支持学前教育发展、城乡义务教育补助、改善普通高中教育、提升中职学校教育、特教学校等改善办学条件，义务教育薄弱学校改造、教师培训、学生资助等。</w:t>
      </w:r>
    </w:p>
    <w:p w14:paraId="70B673EF">
      <w:pPr>
        <w:pStyle w:val="2"/>
        <w:keepNext w:val="0"/>
        <w:keepLines w:val="0"/>
        <w:pageBreakBefore w:val="0"/>
        <w:widowControl w:val="0"/>
        <w:numPr>
          <w:ilvl w:val="0"/>
          <w:numId w:val="0"/>
        </w:numPr>
        <w:kinsoku/>
        <w:wordWrap/>
        <w:overflowPunct/>
        <w:topLinePunct w:val="0"/>
        <w:autoSpaceDE/>
        <w:autoSpaceDN/>
        <w:bidi w:val="0"/>
        <w:adjustRightInd/>
        <w:snapToGrid w:val="0"/>
        <w:spacing w:after="0" w:afterLines="0" w:line="560" w:lineRule="exact"/>
        <w:ind w:firstLine="640" w:firstLineChars="200"/>
        <w:textAlignment w:val="auto"/>
        <w:rPr>
          <w:rFonts w:hint="eastAsia" w:ascii="方正仿宋简体" w:hAnsi="方正仿宋简体" w:eastAsia="方正仿宋简体" w:cs="方正仿宋简体"/>
          <w:color w:val="auto"/>
          <w:sz w:val="32"/>
          <w:szCs w:val="32"/>
          <w:highlight w:val="none"/>
          <w:lang w:val="en-US" w:eastAsia="zh-CN"/>
        </w:rPr>
      </w:pPr>
      <w:r>
        <w:rPr>
          <w:rFonts w:hint="eastAsia" w:ascii="方正仿宋简体" w:hAnsi="方正仿宋简体" w:eastAsia="方正仿宋简体" w:cs="方正仿宋简体"/>
          <w:color w:val="auto"/>
          <w:sz w:val="32"/>
          <w:szCs w:val="32"/>
          <w:highlight w:val="none"/>
          <w:lang w:val="en-US" w:eastAsia="zh-CN"/>
        </w:rPr>
        <w:t>财政专户资金安排项目8个，预算资金826.1221万元，执行资金536.348231万元，预算执行率65.29%，结余资金286.773869万元，项目资金主要用于一中、二中、职教教育教学经费、进修学校教师培训经费、中考考试考务费等。</w:t>
      </w:r>
    </w:p>
    <w:p w14:paraId="7697CBFB">
      <w:pPr>
        <w:ind w:firstLine="640"/>
        <w:rPr>
          <w:rFonts w:hint="eastAsia"/>
          <w:color w:val="000000"/>
          <w:kern w:val="0"/>
        </w:rPr>
      </w:pPr>
      <w:r>
        <w:rPr>
          <w:rFonts w:hint="eastAsia" w:ascii="方正仿宋简体" w:hAnsi="方正仿宋简体" w:eastAsia="方正仿宋简体" w:cs="方正仿宋简体"/>
          <w:b/>
          <w:bCs/>
          <w:color w:val="auto"/>
          <w:sz w:val="32"/>
          <w:szCs w:val="32"/>
          <w:highlight w:val="none"/>
          <w:lang w:val="en-US" w:eastAsia="zh-CN"/>
        </w:rPr>
        <w:t>2.目标实现情况。</w:t>
      </w:r>
      <w:r>
        <w:rPr>
          <w:rFonts w:hint="eastAsia" w:ascii="方正仿宋简体" w:hAnsi="方正仿宋简体" w:eastAsia="方正仿宋简体" w:cs="方正仿宋简体"/>
          <w:color w:val="auto"/>
          <w:kern w:val="2"/>
          <w:sz w:val="32"/>
          <w:szCs w:val="32"/>
          <w:highlight w:val="none"/>
          <w:lang w:val="en-US" w:eastAsia="zh-CN" w:bidi="ar-SA"/>
        </w:rPr>
        <w:t>教育工程项目顺利实施。一是投资300万元，完成石棋峪、北障城等28所幼儿园新建及改造项目。二是投资800万元，完成小作中学、南陉学校等14所学校义务教育薄弱环节改善和扩容提质项目。三是投资600万元，对标义务教育优质均衡发展评估及省政府“四年一轮”教育督导，完成44所学校办学条件改善提升工程。四是投资350万元，为37所中小学更换多媒体105套，为21所寄宿制学校安装护眼灯，目前全县28所义务教育阶段寄宿制学校全部实现护眼灯全覆盖。</w:t>
      </w:r>
    </w:p>
    <w:p w14:paraId="4C812F23">
      <w:pPr>
        <w:pStyle w:val="2"/>
        <w:keepNext w:val="0"/>
        <w:keepLines w:val="0"/>
        <w:pageBreakBefore w:val="0"/>
        <w:widowControl w:val="0"/>
        <w:numPr>
          <w:ilvl w:val="0"/>
          <w:numId w:val="0"/>
        </w:numPr>
        <w:kinsoku/>
        <w:wordWrap/>
        <w:overflowPunct/>
        <w:topLinePunct w:val="0"/>
        <w:autoSpaceDE/>
        <w:autoSpaceDN/>
        <w:bidi w:val="0"/>
        <w:adjustRightInd/>
        <w:snapToGrid w:val="0"/>
        <w:spacing w:after="0" w:afterLines="0" w:line="560" w:lineRule="exact"/>
        <w:ind w:firstLine="640" w:firstLineChars="200"/>
        <w:textAlignment w:val="auto"/>
        <w:rPr>
          <w:rFonts w:hint="default" w:ascii="方正仿宋简体" w:hAnsi="方正仿宋简体" w:eastAsia="方正仿宋简体" w:cs="方正仿宋简体"/>
          <w:color w:val="auto"/>
          <w:kern w:val="2"/>
          <w:sz w:val="32"/>
          <w:szCs w:val="32"/>
          <w:highlight w:val="none"/>
          <w:lang w:val="en-US" w:eastAsia="zh-CN" w:bidi="ar-SA"/>
        </w:rPr>
      </w:pPr>
      <w:r>
        <w:rPr>
          <w:rFonts w:hint="eastAsia" w:ascii="方正仿宋简体" w:hAnsi="方正仿宋简体" w:eastAsia="方正仿宋简体" w:cs="方正仿宋简体"/>
          <w:color w:val="auto"/>
          <w:kern w:val="2"/>
          <w:sz w:val="32"/>
          <w:szCs w:val="32"/>
          <w:highlight w:val="none"/>
          <w:lang w:val="en-US" w:eastAsia="zh-CN" w:bidi="ar-SA"/>
        </w:rPr>
        <w:t>规范实施课后服务，全县20759名学生参与课后服务，参与率92.36%。组织思政教师全员培训，提高思政教学能力，全县各中小学校长、书记共讲授思政课149</w:t>
      </w:r>
      <w:r>
        <w:rPr>
          <w:rFonts w:hint="eastAsia" w:ascii="方正仿宋简体" w:hAnsi="方正仿宋简体" w:eastAsia="方正仿宋简体" w:cs="方正仿宋简体"/>
          <w:color w:val="auto"/>
          <w:kern w:val="2"/>
          <w:sz w:val="32"/>
          <w:szCs w:val="32"/>
          <w:highlight w:val="none"/>
          <w:lang w:val="zh-CN" w:eastAsia="zh-CN" w:bidi="ar-SA"/>
        </w:rPr>
        <w:t>节，</w:t>
      </w:r>
      <w:r>
        <w:rPr>
          <w:rFonts w:hint="eastAsia" w:ascii="方正仿宋简体" w:hAnsi="方正仿宋简体" w:eastAsia="方正仿宋简体" w:cs="方正仿宋简体"/>
          <w:color w:val="auto"/>
          <w:kern w:val="2"/>
          <w:sz w:val="32"/>
          <w:szCs w:val="32"/>
          <w:highlight w:val="none"/>
          <w:lang w:val="en-US" w:eastAsia="zh-CN" w:bidi="ar-SA"/>
        </w:rPr>
        <w:t>受听</w:t>
      </w:r>
      <w:r>
        <w:rPr>
          <w:rFonts w:hint="eastAsia" w:ascii="方正仿宋简体" w:hAnsi="方正仿宋简体" w:eastAsia="方正仿宋简体" w:cs="方正仿宋简体"/>
          <w:color w:val="auto"/>
          <w:kern w:val="2"/>
          <w:sz w:val="32"/>
          <w:szCs w:val="32"/>
          <w:highlight w:val="none"/>
          <w:lang w:val="zh-CN" w:eastAsia="zh-CN" w:bidi="ar-SA"/>
        </w:rPr>
        <w:t>学生</w:t>
      </w:r>
      <w:r>
        <w:rPr>
          <w:rFonts w:hint="eastAsia" w:ascii="方正仿宋简体" w:hAnsi="方正仿宋简体" w:eastAsia="方正仿宋简体" w:cs="方正仿宋简体"/>
          <w:color w:val="auto"/>
          <w:kern w:val="2"/>
          <w:sz w:val="32"/>
          <w:szCs w:val="32"/>
          <w:highlight w:val="none"/>
          <w:lang w:val="en-US" w:eastAsia="zh-CN" w:bidi="ar-SA"/>
        </w:rPr>
        <w:t>29000</w:t>
      </w:r>
      <w:r>
        <w:rPr>
          <w:rFonts w:hint="eastAsia" w:ascii="方正仿宋简体" w:hAnsi="方正仿宋简体" w:eastAsia="方正仿宋简体" w:cs="方正仿宋简体"/>
          <w:color w:val="auto"/>
          <w:kern w:val="2"/>
          <w:sz w:val="32"/>
          <w:szCs w:val="32"/>
          <w:highlight w:val="none"/>
          <w:lang w:val="zh-CN" w:eastAsia="zh-CN" w:bidi="ar-SA"/>
        </w:rPr>
        <w:t>人次。</w:t>
      </w:r>
      <w:r>
        <w:rPr>
          <w:rFonts w:hint="eastAsia" w:ascii="方正仿宋简体" w:hAnsi="方正仿宋简体" w:eastAsia="方正仿宋简体" w:cs="方正仿宋简体"/>
          <w:color w:val="auto"/>
          <w:kern w:val="2"/>
          <w:sz w:val="32"/>
          <w:szCs w:val="32"/>
          <w:highlight w:val="none"/>
          <w:lang w:val="en-US" w:eastAsia="zh-CN" w:bidi="ar-SA"/>
        </w:rPr>
        <w:t>开展“四年一轮”省政府对县级人民政府履行教育职责评价达标情况摸底和义务教育优质均衡达标情况摸底，建立工作台账，逐项对标落实。顺利通过义务教育优质均衡市级核查。完成21所学校规范化办学督导评估工作。全年资助学生6044人次，金额459.75万元。全县91所农村学校及教学点7960名学生享受营养改善计划。</w:t>
      </w:r>
    </w:p>
    <w:p w14:paraId="62C7FF26">
      <w:pPr>
        <w:keepNext w:val="0"/>
        <w:keepLines w:val="0"/>
        <w:pageBreakBefore w:val="0"/>
        <w:widowControl w:val="0"/>
        <w:kinsoku/>
        <w:wordWrap/>
        <w:overflowPunct/>
        <w:topLinePunct w:val="0"/>
        <w:autoSpaceDE/>
        <w:autoSpaceDN/>
        <w:bidi w:val="0"/>
        <w:adjustRightInd/>
        <w:snapToGrid w:val="0"/>
        <w:spacing w:line="560" w:lineRule="exact"/>
        <w:textAlignment w:val="auto"/>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方正楷体简体" w:hAnsi="方正楷体简体" w:eastAsia="方正楷体简体" w:cs="方正楷体简体"/>
          <w:b/>
          <w:bCs w:val="0"/>
          <w:sz w:val="32"/>
          <w:szCs w:val="32"/>
        </w:rPr>
        <w:t>（二）分项绩效目标实现情况及指标分析</w:t>
      </w:r>
    </w:p>
    <w:p w14:paraId="601B8B59">
      <w:pPr>
        <w:keepNext w:val="0"/>
        <w:keepLines w:val="0"/>
        <w:pageBreakBefore w:val="0"/>
        <w:numPr>
          <w:ilvl w:val="0"/>
          <w:numId w:val="0"/>
        </w:numPr>
        <w:kinsoku/>
        <w:wordWrap/>
        <w:overflowPunct/>
        <w:topLinePunct w:val="0"/>
        <w:autoSpaceDE/>
        <w:autoSpaceDN/>
        <w:bidi w:val="0"/>
        <w:adjustRightInd/>
        <w:snapToGrid/>
        <w:spacing w:line="600" w:lineRule="exact"/>
        <w:ind w:firstLine="643" w:firstLineChars="200"/>
        <w:jc w:val="both"/>
        <w:textAlignment w:val="auto"/>
        <w:outlineLvl w:val="9"/>
        <w:rPr>
          <w:rFonts w:hint="eastAsia" w:ascii="方正仿宋简体" w:hAnsi="方正仿宋简体" w:eastAsia="方正仿宋简体" w:cs="方正仿宋简体"/>
          <w:b/>
          <w:bCs/>
          <w:color w:val="auto"/>
          <w:sz w:val="32"/>
          <w:szCs w:val="32"/>
          <w:highlight w:val="none"/>
          <w:lang w:val="en-US" w:eastAsia="zh-CN"/>
        </w:rPr>
      </w:pPr>
      <w:r>
        <w:rPr>
          <w:rFonts w:hint="eastAsia" w:ascii="方正仿宋简体" w:hAnsi="方正仿宋简体" w:eastAsia="方正仿宋简体" w:cs="方正仿宋简体"/>
          <w:b/>
          <w:bCs/>
          <w:color w:val="auto"/>
          <w:sz w:val="32"/>
          <w:szCs w:val="32"/>
          <w:highlight w:val="none"/>
          <w:lang w:val="en-US" w:eastAsia="zh-CN"/>
        </w:rPr>
        <w:t>1.部门管理指标满分为30分，自评得分25分。</w:t>
      </w:r>
    </w:p>
    <w:p w14:paraId="53508EE2">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方正仿宋简体" w:hAnsi="方正仿宋简体" w:eastAsia="方正仿宋简体" w:cs="方正仿宋简体"/>
          <w:color w:val="auto"/>
          <w:sz w:val="32"/>
          <w:szCs w:val="32"/>
          <w:highlight w:val="none"/>
          <w:lang w:val="en-US" w:eastAsia="zh-CN"/>
        </w:rPr>
      </w:pPr>
      <w:r>
        <w:rPr>
          <w:rFonts w:hint="eastAsia" w:ascii="方正仿宋简体" w:hAnsi="方正仿宋简体" w:eastAsia="方正仿宋简体" w:cs="方正仿宋简体"/>
          <w:color w:val="auto"/>
          <w:sz w:val="32"/>
          <w:szCs w:val="32"/>
          <w:highlight w:val="none"/>
          <w:lang w:val="en-US" w:eastAsia="zh-CN"/>
        </w:rPr>
        <w:t>按要求完整准确编制年初预算，得分3分；部门预算完成率</w:t>
      </w:r>
      <w:bookmarkStart w:id="2" w:name="OLE_LINK3"/>
      <w:r>
        <w:rPr>
          <w:rFonts w:hint="eastAsia" w:ascii="方正仿宋简体" w:hAnsi="方正仿宋简体" w:eastAsia="方正仿宋简体" w:cs="方正仿宋简体"/>
          <w:sz w:val="32"/>
          <w:szCs w:val="32"/>
          <w:lang w:val="en-US" w:eastAsia="zh-CN"/>
        </w:rPr>
        <w:t>95.64</w:t>
      </w:r>
      <w:r>
        <w:rPr>
          <w:rFonts w:hint="eastAsia" w:ascii="方正仿宋简体" w:hAnsi="方正仿宋简体" w:eastAsia="方正仿宋简体" w:cs="方正仿宋简体"/>
          <w:color w:val="auto"/>
          <w:sz w:val="32"/>
          <w:szCs w:val="32"/>
          <w:highlight w:val="none"/>
          <w:lang w:val="en-US" w:eastAsia="zh-CN"/>
        </w:rPr>
        <w:t>%</w:t>
      </w:r>
      <w:bookmarkEnd w:id="2"/>
      <w:r>
        <w:rPr>
          <w:rFonts w:hint="eastAsia" w:ascii="方正仿宋简体" w:hAnsi="方正仿宋简体" w:eastAsia="方正仿宋简体" w:cs="方正仿宋简体"/>
          <w:color w:val="auto"/>
          <w:sz w:val="32"/>
          <w:szCs w:val="32"/>
          <w:highlight w:val="none"/>
          <w:lang w:val="en-US" w:eastAsia="zh-CN"/>
        </w:rPr>
        <w:t>，得分2分；严格落实各级各类学校公用经费不低于政策标准，得分3分；三公经费不超年初预算，得分3分；部门全部资金结转结余率4.36%，低于5%，得分2分；预决算信息按要求完整正式公开，基础信息完善，得分3分；人员经费编制齐全，落实到位，得分3分；资金使用合规，规范运行，得分3分；固定资产严格管理，定期清查盘点，下属单位存在入账不及时，处置不及时的情况，得分1分；固定资产利用率98%，有闲置的资产，得分2分。</w:t>
      </w:r>
    </w:p>
    <w:p w14:paraId="6AD3BD74">
      <w:pPr>
        <w:pStyle w:val="2"/>
        <w:keepNext w:val="0"/>
        <w:keepLines w:val="0"/>
        <w:pageBreakBefore w:val="0"/>
        <w:widowControl w:val="0"/>
        <w:kinsoku/>
        <w:wordWrap/>
        <w:overflowPunct/>
        <w:topLinePunct w:val="0"/>
        <w:autoSpaceDE/>
        <w:autoSpaceDN/>
        <w:bidi w:val="0"/>
        <w:adjustRightInd/>
        <w:snapToGrid/>
        <w:spacing w:after="0" w:line="560" w:lineRule="exact"/>
        <w:ind w:firstLine="643" w:firstLineChars="200"/>
        <w:textAlignment w:val="auto"/>
        <w:rPr>
          <w:rFonts w:hint="eastAsia" w:ascii="方正仿宋简体" w:hAnsi="方正仿宋简体" w:eastAsia="方正仿宋简体" w:cs="方正仿宋简体"/>
          <w:color w:val="auto"/>
          <w:kern w:val="2"/>
          <w:sz w:val="32"/>
          <w:szCs w:val="32"/>
          <w:highlight w:val="none"/>
          <w:lang w:val="en-US" w:eastAsia="zh-CN" w:bidi="ar-SA"/>
        </w:rPr>
      </w:pPr>
      <w:r>
        <w:rPr>
          <w:rFonts w:hint="eastAsia" w:ascii="方正仿宋简体" w:hAnsi="方正仿宋简体" w:eastAsia="方正仿宋简体" w:cs="方正仿宋简体"/>
          <w:b/>
          <w:bCs/>
          <w:color w:val="auto"/>
          <w:kern w:val="2"/>
          <w:sz w:val="32"/>
          <w:szCs w:val="32"/>
          <w:highlight w:val="none"/>
          <w:lang w:val="en-US" w:eastAsia="zh-CN" w:bidi="ar-SA"/>
        </w:rPr>
        <w:t>2.部门产出指标满分为30分，自评得分29分。</w:t>
      </w:r>
    </w:p>
    <w:p w14:paraId="4D4AEF72">
      <w:pPr>
        <w:pStyle w:val="2"/>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eastAsia" w:ascii="方正仿宋简体" w:hAnsi="方正仿宋简体" w:eastAsia="方正仿宋简体" w:cs="方正仿宋简体"/>
          <w:color w:val="auto"/>
          <w:kern w:val="2"/>
          <w:sz w:val="32"/>
          <w:szCs w:val="32"/>
          <w:highlight w:val="none"/>
          <w:lang w:val="en-US" w:eastAsia="zh-CN" w:bidi="ar-SA"/>
        </w:rPr>
      </w:pPr>
      <w:r>
        <w:rPr>
          <w:rFonts w:hint="eastAsia" w:ascii="方正仿宋简体" w:hAnsi="方正仿宋简体" w:eastAsia="方正仿宋简体" w:cs="方正仿宋简体"/>
          <w:color w:val="auto"/>
          <w:kern w:val="2"/>
          <w:sz w:val="32"/>
          <w:szCs w:val="32"/>
          <w:highlight w:val="none"/>
          <w:lang w:val="en-US" w:eastAsia="zh-CN" w:bidi="ar-SA"/>
        </w:rPr>
        <w:t>部门职能完整，部门年度工作计划与部门年度工作目标相一致，得分7分；部门股室人员按照工作职责，认真履行，完成重点任务，得分7分；积极认真迎接各级各类督导检查工作，顺利通过各项检查，得分7分；资金及时拨付至预算单位，不存在截留、挪用等问题，得分8分。</w:t>
      </w:r>
    </w:p>
    <w:p w14:paraId="7BD04AAF">
      <w:pPr>
        <w:pStyle w:val="2"/>
        <w:keepNext w:val="0"/>
        <w:keepLines w:val="0"/>
        <w:pageBreakBefore w:val="0"/>
        <w:widowControl w:val="0"/>
        <w:kinsoku/>
        <w:wordWrap/>
        <w:overflowPunct/>
        <w:topLinePunct w:val="0"/>
        <w:autoSpaceDE/>
        <w:autoSpaceDN/>
        <w:bidi w:val="0"/>
        <w:adjustRightInd/>
        <w:snapToGrid/>
        <w:spacing w:after="0" w:line="560" w:lineRule="exact"/>
        <w:ind w:firstLine="643" w:firstLineChars="200"/>
        <w:textAlignment w:val="auto"/>
        <w:rPr>
          <w:rFonts w:hint="eastAsia" w:ascii="方正仿宋简体" w:hAnsi="方正仿宋简体" w:eastAsia="方正仿宋简体" w:cs="方正仿宋简体"/>
          <w:color w:val="auto"/>
          <w:kern w:val="2"/>
          <w:sz w:val="32"/>
          <w:szCs w:val="32"/>
          <w:highlight w:val="none"/>
          <w:lang w:val="en-US" w:eastAsia="zh-CN" w:bidi="ar-SA"/>
        </w:rPr>
      </w:pPr>
      <w:r>
        <w:rPr>
          <w:rFonts w:hint="eastAsia" w:ascii="方正仿宋简体" w:hAnsi="方正仿宋简体" w:eastAsia="方正仿宋简体" w:cs="方正仿宋简体"/>
          <w:b/>
          <w:bCs/>
          <w:color w:val="auto"/>
          <w:kern w:val="2"/>
          <w:sz w:val="32"/>
          <w:szCs w:val="32"/>
          <w:highlight w:val="none"/>
          <w:lang w:val="en-US" w:eastAsia="zh-CN" w:bidi="ar-SA"/>
        </w:rPr>
        <w:t>3.部门效果指标满分为30分，自评得分28分。</w:t>
      </w:r>
    </w:p>
    <w:p w14:paraId="25FB7280">
      <w:pPr>
        <w:pStyle w:val="2"/>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eastAsia" w:ascii="方正仿宋简体" w:hAnsi="方正仿宋简体" w:eastAsia="方正仿宋简体" w:cs="方正仿宋简体"/>
          <w:color w:val="auto"/>
          <w:kern w:val="2"/>
          <w:sz w:val="32"/>
          <w:szCs w:val="32"/>
          <w:highlight w:val="none"/>
          <w:lang w:val="en-US" w:eastAsia="zh-CN" w:bidi="ar-SA"/>
        </w:rPr>
      </w:pPr>
      <w:r>
        <w:rPr>
          <w:rFonts w:hint="eastAsia" w:ascii="方正仿宋简体" w:hAnsi="方正仿宋简体" w:eastAsia="方正仿宋简体" w:cs="方正仿宋简体"/>
          <w:color w:val="auto"/>
          <w:kern w:val="2"/>
          <w:sz w:val="32"/>
          <w:szCs w:val="32"/>
          <w:highlight w:val="none"/>
          <w:lang w:val="en-US" w:eastAsia="zh-CN" w:bidi="ar-SA"/>
        </w:rPr>
        <w:t>预算资金执行率</w:t>
      </w:r>
      <w:r>
        <w:rPr>
          <w:rFonts w:hint="eastAsia" w:ascii="方正仿宋简体" w:hAnsi="方正仿宋简体" w:eastAsia="方正仿宋简体" w:cs="方正仿宋简体"/>
          <w:sz w:val="32"/>
          <w:szCs w:val="32"/>
          <w:lang w:val="en-US" w:eastAsia="zh-CN"/>
        </w:rPr>
        <w:t>95.64</w:t>
      </w:r>
      <w:r>
        <w:rPr>
          <w:rFonts w:hint="eastAsia" w:ascii="方正仿宋简体" w:hAnsi="方正仿宋简体" w:eastAsia="方正仿宋简体" w:cs="方正仿宋简体"/>
          <w:color w:val="auto"/>
          <w:sz w:val="32"/>
          <w:szCs w:val="32"/>
          <w:highlight w:val="none"/>
          <w:lang w:val="en-US" w:eastAsia="zh-CN"/>
        </w:rPr>
        <w:t>%</w:t>
      </w:r>
      <w:r>
        <w:rPr>
          <w:rFonts w:hint="eastAsia" w:ascii="方正仿宋简体" w:hAnsi="方正仿宋简体" w:eastAsia="方正仿宋简体" w:cs="方正仿宋简体"/>
          <w:color w:val="auto"/>
          <w:kern w:val="2"/>
          <w:sz w:val="32"/>
          <w:szCs w:val="32"/>
          <w:highlight w:val="none"/>
          <w:lang w:val="en-US" w:eastAsia="zh-CN" w:bidi="ar-SA"/>
        </w:rPr>
        <w:t>，切实发挥财政资金效益，得分8分；各级各类学校教学质量稳步提升，得到了广大师生及社会的认可，得分5分；通过支持学前教育、义务教育、普通高中、职业教育等各级改善资金的投入，大大提升了学校办学条件，促进县域内各级各类学校进一步优化提高，得分5分；优先实施农村地区教育改善工程，严格落实各学段学生资助政策，保障困难学生顺利完成学业，持续推动教育公平，得分5分；教育部门工作持续、平稳、优质、高效发展，得分5分。</w:t>
      </w:r>
    </w:p>
    <w:p w14:paraId="1748922F">
      <w:pPr>
        <w:pStyle w:val="2"/>
        <w:keepNext w:val="0"/>
        <w:keepLines w:val="0"/>
        <w:pageBreakBefore w:val="0"/>
        <w:widowControl w:val="0"/>
        <w:kinsoku/>
        <w:wordWrap/>
        <w:overflowPunct/>
        <w:topLinePunct w:val="0"/>
        <w:autoSpaceDE/>
        <w:autoSpaceDN/>
        <w:bidi w:val="0"/>
        <w:adjustRightInd/>
        <w:snapToGrid/>
        <w:spacing w:after="0" w:line="560" w:lineRule="exact"/>
        <w:ind w:firstLine="643" w:firstLineChars="200"/>
        <w:textAlignment w:val="auto"/>
        <w:rPr>
          <w:rFonts w:hint="eastAsia" w:ascii="方正仿宋简体" w:hAnsi="方正仿宋简体" w:eastAsia="方正仿宋简体" w:cs="方正仿宋简体"/>
          <w:color w:val="auto"/>
          <w:kern w:val="2"/>
          <w:sz w:val="32"/>
          <w:szCs w:val="32"/>
          <w:highlight w:val="none"/>
          <w:lang w:val="en-US" w:eastAsia="zh-CN" w:bidi="ar-SA"/>
        </w:rPr>
      </w:pPr>
      <w:r>
        <w:rPr>
          <w:rFonts w:hint="eastAsia" w:ascii="方正仿宋简体" w:hAnsi="方正仿宋简体" w:eastAsia="方正仿宋简体" w:cs="方正仿宋简体"/>
          <w:b/>
          <w:bCs/>
          <w:color w:val="auto"/>
          <w:kern w:val="2"/>
          <w:sz w:val="32"/>
          <w:szCs w:val="32"/>
          <w:highlight w:val="none"/>
          <w:lang w:val="en-US" w:eastAsia="zh-CN" w:bidi="ar-SA"/>
        </w:rPr>
        <w:t>4.部门满意度指标满分为10分，自评得分10分。</w:t>
      </w:r>
    </w:p>
    <w:p w14:paraId="721FF3AA">
      <w:pPr>
        <w:pStyle w:val="2"/>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eastAsia" w:ascii="方正仿宋简体" w:hAnsi="方正仿宋简体" w:eastAsia="方正仿宋简体" w:cs="方正仿宋简体"/>
          <w:color w:val="auto"/>
          <w:kern w:val="2"/>
          <w:sz w:val="32"/>
          <w:szCs w:val="32"/>
          <w:highlight w:val="none"/>
          <w:lang w:val="en-US" w:eastAsia="zh-CN" w:bidi="ar-SA"/>
        </w:rPr>
      </w:pPr>
      <w:r>
        <w:rPr>
          <w:rFonts w:hint="eastAsia" w:ascii="方正仿宋简体" w:hAnsi="方正仿宋简体" w:eastAsia="方正仿宋简体" w:cs="方正仿宋简体"/>
          <w:color w:val="auto"/>
          <w:kern w:val="2"/>
          <w:sz w:val="32"/>
          <w:szCs w:val="32"/>
          <w:highlight w:val="none"/>
          <w:lang w:val="en-US" w:eastAsia="zh-CN" w:bidi="ar-SA"/>
        </w:rPr>
        <w:t>对教育部门综合满意度测评，测评结果98%，超过年初预期指标，得分10分。</w:t>
      </w:r>
    </w:p>
    <w:p w14:paraId="5A9243E7">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方正黑体简体" w:hAnsi="方正黑体简体" w:eastAsia="方正黑体简体" w:cs="方正黑体简体"/>
          <w:b w:val="0"/>
          <w:bCs w:val="0"/>
          <w:sz w:val="32"/>
          <w:szCs w:val="32"/>
        </w:rPr>
      </w:pPr>
      <w:r>
        <w:rPr>
          <w:rFonts w:hint="eastAsia" w:ascii="方正黑体简体" w:hAnsi="方正黑体简体" w:eastAsia="方正黑体简体" w:cs="方正黑体简体"/>
          <w:b w:val="0"/>
          <w:bCs w:val="0"/>
          <w:sz w:val="32"/>
          <w:szCs w:val="32"/>
        </w:rPr>
        <w:t>四、评价结论和评价等级</w:t>
      </w:r>
    </w:p>
    <w:p w14:paraId="7E9A96C4">
      <w:pPr>
        <w:spacing w:line="560" w:lineRule="exact"/>
        <w:ind w:firstLine="640" w:firstLineChars="200"/>
        <w:rPr>
          <w:rFonts w:hint="eastAsia" w:ascii="仿宋" w:hAnsi="仿宋" w:eastAsia="仿宋"/>
          <w:sz w:val="32"/>
          <w:szCs w:val="32"/>
        </w:rPr>
      </w:pPr>
      <w:r>
        <w:rPr>
          <w:rFonts w:hint="eastAsia" w:ascii="方正仿宋简体" w:hAnsi="方正仿宋简体" w:eastAsia="方正仿宋简体" w:cs="方正仿宋简体"/>
          <w:color w:val="auto"/>
          <w:kern w:val="2"/>
          <w:sz w:val="32"/>
          <w:szCs w:val="32"/>
          <w:highlight w:val="none"/>
          <w:lang w:val="en-US" w:eastAsia="zh-CN" w:bidi="ar-SA"/>
        </w:rPr>
        <w:t>根据部门职责定位和各项工作履职情况进行综合评价，我部门2024年绩效评价得分92分，部门整体支出综合绩效等级为优秀。</w:t>
      </w:r>
    </w:p>
    <w:p w14:paraId="5B38F605">
      <w:pPr>
        <w:spacing w:line="560" w:lineRule="exact"/>
        <w:ind w:firstLine="640" w:firstLineChars="200"/>
        <w:rPr>
          <w:rFonts w:ascii="黑体" w:hAnsi="黑体" w:eastAsia="黑体"/>
          <w:sz w:val="32"/>
          <w:szCs w:val="32"/>
        </w:rPr>
      </w:pPr>
      <w:r>
        <w:rPr>
          <w:rFonts w:hint="eastAsia" w:ascii="方正黑体简体" w:hAnsi="方正黑体简体" w:eastAsia="方正黑体简体" w:cs="方正黑体简体"/>
          <w:b w:val="0"/>
          <w:bCs w:val="0"/>
          <w:sz w:val="32"/>
          <w:szCs w:val="32"/>
        </w:rPr>
        <w:t>五、存在的问题及改进措施</w:t>
      </w:r>
    </w:p>
    <w:p w14:paraId="0EBE1C9C">
      <w:pPr>
        <w:spacing w:line="560" w:lineRule="exact"/>
        <w:ind w:firstLine="643" w:firstLineChars="200"/>
        <w:rPr>
          <w:rFonts w:hint="eastAsia" w:ascii="楷体" w:hAnsi="楷体" w:eastAsia="楷体"/>
          <w:bCs/>
          <w:sz w:val="32"/>
          <w:szCs w:val="32"/>
        </w:rPr>
      </w:pPr>
      <w:r>
        <w:rPr>
          <w:rFonts w:hint="eastAsia" w:ascii="方正楷体简体" w:hAnsi="方正楷体简体" w:eastAsia="方正楷体简体" w:cs="方正楷体简体"/>
          <w:b/>
          <w:bCs w:val="0"/>
          <w:sz w:val="32"/>
          <w:szCs w:val="32"/>
        </w:rPr>
        <w:t>（一）存在的主要问题</w:t>
      </w:r>
    </w:p>
    <w:p w14:paraId="31C56790">
      <w:pPr>
        <w:pStyle w:val="2"/>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default" w:ascii="方正仿宋简体" w:hAnsi="方正仿宋简体" w:eastAsia="方正仿宋简体" w:cs="方正仿宋简体"/>
          <w:color w:val="auto"/>
          <w:kern w:val="2"/>
          <w:sz w:val="32"/>
          <w:szCs w:val="32"/>
          <w:highlight w:val="none"/>
          <w:lang w:val="en-US" w:eastAsia="zh-CN" w:bidi="ar-SA"/>
        </w:rPr>
      </w:pPr>
      <w:r>
        <w:rPr>
          <w:rFonts w:hint="eastAsia" w:ascii="方正仿宋简体" w:hAnsi="方正仿宋简体" w:eastAsia="方正仿宋简体" w:cs="方正仿宋简体"/>
          <w:color w:val="auto"/>
          <w:kern w:val="2"/>
          <w:sz w:val="32"/>
          <w:szCs w:val="32"/>
          <w:highlight w:val="none"/>
          <w:lang w:val="en-US" w:eastAsia="zh-CN" w:bidi="ar-SA"/>
        </w:rPr>
        <w:t>一是资产管理意识有待加强，个别下属预算单位的固定资产存在已达到使用年限且报废的资产处置不及时、资产闲置的情况。二是部门、单位内控制度不健全，内控工作仅浮于表面。三是下级单位年初预算时未做整体支出预算绩效目标，年末评价时未能客观地设计部门产出与效果，也未能进行预算完成情况评价。四是财务人员业务水平良莠不齐，新老会计工作交接不顺畅，财务工作偶有滞后的现象。</w:t>
      </w:r>
    </w:p>
    <w:p w14:paraId="5B271C0C">
      <w:pPr>
        <w:numPr>
          <w:ilvl w:val="0"/>
          <w:numId w:val="1"/>
        </w:numPr>
        <w:spacing w:line="560" w:lineRule="exact"/>
        <w:ind w:firstLine="643" w:firstLineChars="200"/>
        <w:rPr>
          <w:rFonts w:hint="eastAsia" w:ascii="方正楷体简体" w:hAnsi="方正楷体简体" w:eastAsia="方正楷体简体" w:cs="方正楷体简体"/>
          <w:b/>
          <w:bCs w:val="0"/>
          <w:sz w:val="32"/>
          <w:szCs w:val="32"/>
        </w:rPr>
      </w:pPr>
      <w:r>
        <w:rPr>
          <w:rFonts w:hint="eastAsia" w:ascii="方正楷体简体" w:hAnsi="方正楷体简体" w:eastAsia="方正楷体简体" w:cs="方正楷体简体"/>
          <w:b/>
          <w:bCs w:val="0"/>
          <w:sz w:val="32"/>
          <w:szCs w:val="32"/>
        </w:rPr>
        <w:t>针对问题提出具体的改进措施或建议</w:t>
      </w:r>
    </w:p>
    <w:p w14:paraId="7EB43F10">
      <w:pPr>
        <w:pStyle w:val="2"/>
        <w:keepNext w:val="0"/>
        <w:keepLines w:val="0"/>
        <w:pageBreakBefore w:val="0"/>
        <w:widowControl w:val="0"/>
        <w:numPr>
          <w:ilvl w:val="0"/>
          <w:numId w:val="0"/>
        </w:numPr>
        <w:kinsoku/>
        <w:wordWrap/>
        <w:overflowPunct/>
        <w:topLinePunct w:val="0"/>
        <w:autoSpaceDE/>
        <w:autoSpaceDN/>
        <w:bidi w:val="0"/>
        <w:adjustRightInd/>
        <w:snapToGrid/>
        <w:spacing w:after="0" w:line="560" w:lineRule="exact"/>
        <w:textAlignment w:val="auto"/>
        <w:rPr>
          <w:rFonts w:hint="default" w:eastAsia="宋体"/>
          <w:lang w:val="en-US" w:eastAsia="zh-CN"/>
        </w:rPr>
      </w:pPr>
      <w:r>
        <w:rPr>
          <w:rFonts w:hint="eastAsia"/>
          <w:lang w:val="en-US" w:eastAsia="zh-CN"/>
        </w:rPr>
        <w:t xml:space="preserve">       </w:t>
      </w:r>
      <w:r>
        <w:rPr>
          <w:rFonts w:hint="eastAsia" w:ascii="方正仿宋简体" w:hAnsi="方正仿宋简体" w:eastAsia="方正仿宋简体" w:cs="方正仿宋简体"/>
          <w:color w:val="auto"/>
          <w:kern w:val="2"/>
          <w:sz w:val="32"/>
          <w:szCs w:val="32"/>
          <w:highlight w:val="none"/>
          <w:lang w:val="en-US" w:eastAsia="zh-CN" w:bidi="ar-SA"/>
        </w:rPr>
        <w:t>一是加强对系统内财务人员的业务培训，不断提升财务人员的业务能力，重点对内控制度、资产管理、预算编制、资金支出等重要环节有针对性的进行指导，加快新财务人员的成长进度。二是按照《行政事业单位内部控制规范》要求，健全完善部门财务、合同、资产、往来款等制度，加大执行力度，落实管理职责，促使部门实现规范、有效的管控。三是加强对项目的立项审查工作，重点审查项目实施的必要性、前期准备工作情况及项目实施的条件，确保财政资金下达后项目得以快速实施，提高资金使用效率和效益。</w:t>
      </w:r>
    </w:p>
    <w:p w14:paraId="6DB78387">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tbl>
      <w:tblPr>
        <w:tblStyle w:val="7"/>
        <w:tblpPr w:leftFromText="180" w:rightFromText="180" w:vertAnchor="text" w:horzAnchor="page" w:tblpX="1620" w:tblpY="113"/>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80"/>
        <w:gridCol w:w="2040"/>
        <w:gridCol w:w="2895"/>
        <w:gridCol w:w="2533"/>
      </w:tblGrid>
      <w:tr w14:paraId="4862B5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480" w:type="dxa"/>
          </w:tcPr>
          <w:p w14:paraId="064B1CC4">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黑体" w:hAnsi="黑体" w:eastAsia="黑体" w:cs="黑体"/>
                <w:sz w:val="32"/>
                <w:szCs w:val="32"/>
                <w:highlight w:val="none"/>
                <w:vertAlign w:val="baseline"/>
                <w:lang w:val="en-US" w:eastAsia="zh-CN"/>
              </w:rPr>
            </w:pPr>
            <w:r>
              <w:rPr>
                <w:rFonts w:hint="eastAsia" w:ascii="黑体" w:hAnsi="黑体" w:eastAsia="黑体" w:cs="黑体"/>
                <w:sz w:val="32"/>
                <w:szCs w:val="32"/>
                <w:highlight w:val="none"/>
                <w:vertAlign w:val="baseline"/>
                <w:lang w:val="en-US" w:eastAsia="zh-CN"/>
              </w:rPr>
              <w:t>姓名</w:t>
            </w:r>
          </w:p>
        </w:tc>
        <w:tc>
          <w:tcPr>
            <w:tcW w:w="2040" w:type="dxa"/>
          </w:tcPr>
          <w:p w14:paraId="1DFF70C8">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黑体" w:hAnsi="黑体" w:eastAsia="黑体" w:cs="黑体"/>
                <w:sz w:val="32"/>
                <w:szCs w:val="32"/>
                <w:highlight w:val="none"/>
                <w:vertAlign w:val="baseline"/>
                <w:lang w:val="en-US" w:eastAsia="zh-CN"/>
              </w:rPr>
            </w:pPr>
            <w:r>
              <w:rPr>
                <w:rFonts w:hint="eastAsia" w:ascii="黑体" w:hAnsi="黑体" w:eastAsia="黑体" w:cs="黑体"/>
                <w:sz w:val="32"/>
                <w:szCs w:val="32"/>
                <w:highlight w:val="none"/>
                <w:vertAlign w:val="baseline"/>
                <w:lang w:val="en-US" w:eastAsia="zh-CN"/>
              </w:rPr>
              <w:t>工作单位</w:t>
            </w:r>
          </w:p>
        </w:tc>
        <w:tc>
          <w:tcPr>
            <w:tcW w:w="2895" w:type="dxa"/>
          </w:tcPr>
          <w:p w14:paraId="07261B33">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黑体" w:hAnsi="黑体" w:eastAsia="黑体" w:cs="黑体"/>
                <w:sz w:val="32"/>
                <w:szCs w:val="32"/>
                <w:highlight w:val="none"/>
                <w:vertAlign w:val="baseline"/>
                <w:lang w:val="en-US" w:eastAsia="zh-CN"/>
              </w:rPr>
            </w:pPr>
            <w:r>
              <w:rPr>
                <w:rFonts w:hint="eastAsia" w:ascii="黑体" w:hAnsi="黑体" w:eastAsia="黑体" w:cs="黑体"/>
                <w:sz w:val="32"/>
                <w:szCs w:val="32"/>
                <w:highlight w:val="none"/>
                <w:vertAlign w:val="baseline"/>
                <w:lang w:val="en-US" w:eastAsia="zh-CN"/>
              </w:rPr>
              <w:t>职务</w:t>
            </w:r>
          </w:p>
        </w:tc>
        <w:tc>
          <w:tcPr>
            <w:tcW w:w="2533" w:type="dxa"/>
          </w:tcPr>
          <w:p w14:paraId="443364B4">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黑体" w:hAnsi="黑体" w:eastAsia="黑体" w:cs="黑体"/>
                <w:sz w:val="32"/>
                <w:szCs w:val="32"/>
                <w:highlight w:val="none"/>
                <w:vertAlign w:val="baseline"/>
                <w:lang w:val="en-US" w:eastAsia="zh-CN"/>
              </w:rPr>
            </w:pPr>
            <w:r>
              <w:rPr>
                <w:rFonts w:hint="eastAsia" w:ascii="黑体" w:hAnsi="黑体" w:eastAsia="黑体" w:cs="黑体"/>
                <w:sz w:val="32"/>
                <w:szCs w:val="32"/>
                <w:highlight w:val="none"/>
                <w:vertAlign w:val="baseline"/>
                <w:lang w:val="en-US" w:eastAsia="zh-CN"/>
              </w:rPr>
              <w:t>职称</w:t>
            </w:r>
          </w:p>
        </w:tc>
      </w:tr>
      <w:tr w14:paraId="416424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80" w:type="dxa"/>
          </w:tcPr>
          <w:p w14:paraId="6432E80A">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default" w:ascii="方正仿宋简体" w:hAnsi="方正仿宋简体" w:eastAsia="方正仿宋简体" w:cs="方正仿宋简体"/>
                <w:sz w:val="28"/>
                <w:szCs w:val="28"/>
                <w:highlight w:val="none"/>
                <w:vertAlign w:val="baseline"/>
                <w:lang w:val="en-US" w:eastAsia="zh-CN"/>
              </w:rPr>
            </w:pPr>
            <w:r>
              <w:rPr>
                <w:rFonts w:hint="eastAsia" w:ascii="方正仿宋简体" w:hAnsi="方正仿宋简体" w:eastAsia="方正仿宋简体" w:cs="方正仿宋简体"/>
                <w:sz w:val="28"/>
                <w:szCs w:val="28"/>
                <w:highlight w:val="none"/>
                <w:vertAlign w:val="baseline"/>
                <w:lang w:val="en-US" w:eastAsia="zh-CN"/>
              </w:rPr>
              <w:t>许彦会</w:t>
            </w:r>
          </w:p>
        </w:tc>
        <w:tc>
          <w:tcPr>
            <w:tcW w:w="2040" w:type="dxa"/>
          </w:tcPr>
          <w:p w14:paraId="501C6997">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方正仿宋简体" w:hAnsi="方正仿宋简体" w:eastAsia="方正仿宋简体" w:cs="方正仿宋简体"/>
                <w:sz w:val="28"/>
                <w:szCs w:val="28"/>
                <w:highlight w:val="none"/>
                <w:vertAlign w:val="baseline"/>
                <w:lang w:val="en-US" w:eastAsia="zh-CN"/>
              </w:rPr>
            </w:pPr>
            <w:r>
              <w:rPr>
                <w:rFonts w:hint="eastAsia" w:ascii="方正仿宋简体" w:hAnsi="方正仿宋简体" w:eastAsia="方正仿宋简体" w:cs="方正仿宋简体"/>
                <w:sz w:val="28"/>
                <w:szCs w:val="28"/>
                <w:highlight w:val="none"/>
                <w:vertAlign w:val="baseline"/>
                <w:lang w:val="en-US" w:eastAsia="zh-CN"/>
              </w:rPr>
              <w:t>井陉县教育局</w:t>
            </w:r>
          </w:p>
        </w:tc>
        <w:tc>
          <w:tcPr>
            <w:tcW w:w="2895" w:type="dxa"/>
          </w:tcPr>
          <w:p w14:paraId="21AAE22E">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default" w:ascii="方正仿宋简体" w:hAnsi="方正仿宋简体" w:eastAsia="方正仿宋简体" w:cs="方正仿宋简体"/>
                <w:sz w:val="28"/>
                <w:szCs w:val="28"/>
                <w:highlight w:val="none"/>
                <w:vertAlign w:val="baseline"/>
                <w:lang w:val="en-US" w:eastAsia="zh-CN"/>
              </w:rPr>
            </w:pPr>
            <w:r>
              <w:rPr>
                <w:rFonts w:hint="eastAsia" w:ascii="方正仿宋简体" w:hAnsi="方正仿宋简体" w:eastAsia="方正仿宋简体" w:cs="方正仿宋简体"/>
                <w:sz w:val="28"/>
                <w:szCs w:val="28"/>
                <w:highlight w:val="none"/>
                <w:vertAlign w:val="baseline"/>
                <w:lang w:val="en-US" w:eastAsia="zh-CN"/>
              </w:rPr>
              <w:t>党组成员</w:t>
            </w:r>
          </w:p>
        </w:tc>
        <w:tc>
          <w:tcPr>
            <w:tcW w:w="2533" w:type="dxa"/>
            <w:vAlign w:val="top"/>
          </w:tcPr>
          <w:p w14:paraId="412B056E">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right="0" w:rightChars="0" w:firstLine="0" w:firstLineChars="0"/>
              <w:jc w:val="center"/>
              <w:textAlignment w:val="auto"/>
              <w:outlineLvl w:val="9"/>
              <w:rPr>
                <w:rFonts w:hint="default" w:ascii="方正仿宋简体" w:hAnsi="方正仿宋简体" w:eastAsia="方正仿宋简体" w:cs="方正仿宋简体"/>
                <w:kern w:val="2"/>
                <w:sz w:val="28"/>
                <w:szCs w:val="28"/>
                <w:highlight w:val="none"/>
                <w:vertAlign w:val="baseline"/>
                <w:lang w:val="en-US" w:eastAsia="zh-CN" w:bidi="ar-SA"/>
              </w:rPr>
            </w:pPr>
            <w:r>
              <w:rPr>
                <w:rFonts w:hint="eastAsia" w:ascii="方正仿宋简体" w:hAnsi="方正仿宋简体" w:eastAsia="方正仿宋简体" w:cs="方正仿宋简体"/>
                <w:sz w:val="28"/>
                <w:szCs w:val="28"/>
                <w:highlight w:val="none"/>
                <w:vertAlign w:val="baseline"/>
                <w:lang w:val="en-US" w:eastAsia="zh-CN"/>
              </w:rPr>
              <w:t>中小学高级教师</w:t>
            </w:r>
          </w:p>
        </w:tc>
      </w:tr>
      <w:tr w14:paraId="328823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80" w:type="dxa"/>
          </w:tcPr>
          <w:p w14:paraId="6A7FEF95">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default" w:ascii="方正仿宋简体" w:hAnsi="方正仿宋简体" w:eastAsia="方正仿宋简体" w:cs="方正仿宋简体"/>
                <w:sz w:val="28"/>
                <w:szCs w:val="28"/>
                <w:highlight w:val="none"/>
                <w:vertAlign w:val="baseline"/>
                <w:lang w:val="en-US" w:eastAsia="zh-CN"/>
              </w:rPr>
            </w:pPr>
            <w:bookmarkStart w:id="3" w:name="OLE_LINK4" w:colFirst="3" w:colLast="3"/>
            <w:r>
              <w:rPr>
                <w:rFonts w:hint="eastAsia" w:ascii="方正仿宋简体" w:hAnsi="方正仿宋简体" w:eastAsia="方正仿宋简体" w:cs="方正仿宋简体"/>
                <w:sz w:val="28"/>
                <w:szCs w:val="28"/>
                <w:highlight w:val="none"/>
                <w:vertAlign w:val="baseline"/>
                <w:lang w:val="en-US" w:eastAsia="zh-CN"/>
              </w:rPr>
              <w:t>张志勇</w:t>
            </w:r>
          </w:p>
        </w:tc>
        <w:tc>
          <w:tcPr>
            <w:tcW w:w="2040" w:type="dxa"/>
          </w:tcPr>
          <w:p w14:paraId="470F3617">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方正仿宋简体" w:hAnsi="方正仿宋简体" w:eastAsia="方正仿宋简体" w:cs="方正仿宋简体"/>
                <w:sz w:val="28"/>
                <w:szCs w:val="28"/>
                <w:highlight w:val="none"/>
                <w:vertAlign w:val="baseline"/>
              </w:rPr>
            </w:pPr>
            <w:r>
              <w:rPr>
                <w:rFonts w:hint="eastAsia" w:ascii="方正仿宋简体" w:hAnsi="方正仿宋简体" w:eastAsia="方正仿宋简体" w:cs="方正仿宋简体"/>
                <w:sz w:val="28"/>
                <w:szCs w:val="28"/>
                <w:highlight w:val="none"/>
                <w:vertAlign w:val="baseline"/>
                <w:lang w:val="en-US" w:eastAsia="zh-CN"/>
              </w:rPr>
              <w:t>井陉县教育局</w:t>
            </w:r>
          </w:p>
        </w:tc>
        <w:tc>
          <w:tcPr>
            <w:tcW w:w="2895" w:type="dxa"/>
          </w:tcPr>
          <w:p w14:paraId="58938B61">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方正仿宋简体" w:hAnsi="方正仿宋简体" w:eastAsia="方正仿宋简体" w:cs="方正仿宋简体"/>
                <w:sz w:val="28"/>
                <w:szCs w:val="28"/>
                <w:highlight w:val="none"/>
                <w:vertAlign w:val="baseline"/>
                <w:lang w:val="en-US" w:eastAsia="zh-CN"/>
              </w:rPr>
            </w:pPr>
            <w:r>
              <w:rPr>
                <w:rFonts w:hint="eastAsia" w:ascii="方正仿宋简体" w:hAnsi="方正仿宋简体" w:eastAsia="方正仿宋简体" w:cs="方正仿宋简体"/>
                <w:sz w:val="28"/>
                <w:szCs w:val="28"/>
                <w:highlight w:val="none"/>
                <w:vertAlign w:val="baseline"/>
                <w:lang w:val="en-US" w:eastAsia="zh-CN"/>
              </w:rPr>
              <w:t>发展规划股股长</w:t>
            </w:r>
          </w:p>
        </w:tc>
        <w:tc>
          <w:tcPr>
            <w:tcW w:w="2533" w:type="dxa"/>
          </w:tcPr>
          <w:p w14:paraId="35684019">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方正仿宋简体" w:hAnsi="方正仿宋简体" w:eastAsia="方正仿宋简体" w:cs="方正仿宋简体"/>
                <w:sz w:val="28"/>
                <w:szCs w:val="28"/>
                <w:highlight w:val="none"/>
                <w:vertAlign w:val="baseline"/>
              </w:rPr>
            </w:pPr>
            <w:r>
              <w:rPr>
                <w:rFonts w:hint="eastAsia" w:ascii="方正仿宋简体" w:hAnsi="方正仿宋简体" w:eastAsia="方正仿宋简体" w:cs="方正仿宋简体"/>
                <w:sz w:val="28"/>
                <w:szCs w:val="28"/>
                <w:highlight w:val="none"/>
                <w:vertAlign w:val="baseline"/>
                <w:lang w:val="en-US" w:eastAsia="zh-CN"/>
              </w:rPr>
              <w:t>中小学高级教师</w:t>
            </w:r>
          </w:p>
        </w:tc>
      </w:tr>
      <w:bookmarkEnd w:id="3"/>
      <w:tr w14:paraId="5B9981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80" w:type="dxa"/>
          </w:tcPr>
          <w:p w14:paraId="603FA9FA">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方正仿宋简体" w:hAnsi="方正仿宋简体" w:eastAsia="方正仿宋简体" w:cs="方正仿宋简体"/>
                <w:sz w:val="28"/>
                <w:szCs w:val="28"/>
                <w:highlight w:val="none"/>
                <w:vertAlign w:val="baseline"/>
                <w:lang w:val="en-US" w:eastAsia="zh-CN"/>
              </w:rPr>
            </w:pPr>
            <w:r>
              <w:rPr>
                <w:rFonts w:hint="eastAsia" w:ascii="方正仿宋简体" w:hAnsi="方正仿宋简体" w:eastAsia="方正仿宋简体" w:cs="方正仿宋简体"/>
                <w:sz w:val="28"/>
                <w:szCs w:val="28"/>
                <w:highlight w:val="none"/>
                <w:vertAlign w:val="baseline"/>
                <w:lang w:val="en-US" w:eastAsia="zh-CN"/>
              </w:rPr>
              <w:t>刘海忠</w:t>
            </w:r>
          </w:p>
        </w:tc>
        <w:tc>
          <w:tcPr>
            <w:tcW w:w="2040" w:type="dxa"/>
          </w:tcPr>
          <w:p w14:paraId="7D1F8075">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方正仿宋简体" w:hAnsi="方正仿宋简体" w:eastAsia="方正仿宋简体" w:cs="方正仿宋简体"/>
                <w:sz w:val="28"/>
                <w:szCs w:val="28"/>
                <w:highlight w:val="none"/>
                <w:vertAlign w:val="baseline"/>
              </w:rPr>
            </w:pPr>
            <w:r>
              <w:rPr>
                <w:rFonts w:hint="eastAsia" w:ascii="方正仿宋简体" w:hAnsi="方正仿宋简体" w:eastAsia="方正仿宋简体" w:cs="方正仿宋简体"/>
                <w:sz w:val="28"/>
                <w:szCs w:val="28"/>
                <w:highlight w:val="none"/>
                <w:vertAlign w:val="baseline"/>
                <w:lang w:val="en-US" w:eastAsia="zh-CN"/>
              </w:rPr>
              <w:t>井陉县教育局</w:t>
            </w:r>
          </w:p>
        </w:tc>
        <w:tc>
          <w:tcPr>
            <w:tcW w:w="2895" w:type="dxa"/>
          </w:tcPr>
          <w:p w14:paraId="68DA2EF1">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方正仿宋简体" w:hAnsi="方正仿宋简体" w:eastAsia="方正仿宋简体" w:cs="方正仿宋简体"/>
                <w:sz w:val="28"/>
                <w:szCs w:val="28"/>
                <w:highlight w:val="none"/>
                <w:vertAlign w:val="baseline"/>
              </w:rPr>
            </w:pPr>
            <w:r>
              <w:rPr>
                <w:rFonts w:hint="eastAsia" w:ascii="方正仿宋简体" w:hAnsi="方正仿宋简体" w:eastAsia="方正仿宋简体" w:cs="方正仿宋简体"/>
                <w:sz w:val="28"/>
                <w:szCs w:val="28"/>
                <w:highlight w:val="none"/>
                <w:vertAlign w:val="baseline"/>
                <w:lang w:val="en-US" w:eastAsia="zh-CN"/>
              </w:rPr>
              <w:t>发展规划股副股长</w:t>
            </w:r>
          </w:p>
        </w:tc>
        <w:tc>
          <w:tcPr>
            <w:tcW w:w="2533" w:type="dxa"/>
          </w:tcPr>
          <w:p w14:paraId="1F872A47">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方正仿宋简体" w:hAnsi="方正仿宋简体" w:eastAsia="方正仿宋简体" w:cs="方正仿宋简体"/>
                <w:sz w:val="28"/>
                <w:szCs w:val="28"/>
                <w:highlight w:val="none"/>
                <w:vertAlign w:val="baseline"/>
              </w:rPr>
            </w:pPr>
            <w:r>
              <w:rPr>
                <w:rFonts w:hint="eastAsia" w:ascii="方正仿宋简体" w:hAnsi="方正仿宋简体" w:eastAsia="方正仿宋简体" w:cs="方正仿宋简体"/>
                <w:sz w:val="28"/>
                <w:szCs w:val="28"/>
                <w:highlight w:val="none"/>
                <w:vertAlign w:val="baseline"/>
                <w:lang w:val="en-US" w:eastAsia="zh-CN"/>
              </w:rPr>
              <w:t>中小学一级教师</w:t>
            </w:r>
          </w:p>
        </w:tc>
      </w:tr>
      <w:tr w14:paraId="73CDBD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80" w:type="dxa"/>
          </w:tcPr>
          <w:p w14:paraId="24A130A9">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default" w:ascii="方正仿宋简体" w:hAnsi="方正仿宋简体" w:eastAsia="方正仿宋简体" w:cs="方正仿宋简体"/>
                <w:sz w:val="28"/>
                <w:szCs w:val="28"/>
                <w:highlight w:val="none"/>
                <w:vertAlign w:val="baseline"/>
                <w:lang w:val="en-US" w:eastAsia="zh-CN"/>
              </w:rPr>
            </w:pPr>
            <w:r>
              <w:rPr>
                <w:rFonts w:hint="eastAsia" w:ascii="方正仿宋简体" w:hAnsi="方正仿宋简体" w:eastAsia="方正仿宋简体" w:cs="方正仿宋简体"/>
                <w:sz w:val="28"/>
                <w:szCs w:val="28"/>
                <w:highlight w:val="none"/>
                <w:vertAlign w:val="baseline"/>
                <w:lang w:val="en-US" w:eastAsia="zh-CN"/>
              </w:rPr>
              <w:t>李海鹏</w:t>
            </w:r>
          </w:p>
        </w:tc>
        <w:tc>
          <w:tcPr>
            <w:tcW w:w="2040" w:type="dxa"/>
            <w:vAlign w:val="top"/>
          </w:tcPr>
          <w:p w14:paraId="6AB2362D">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right="0" w:rightChars="0" w:firstLine="0" w:firstLineChars="0"/>
              <w:jc w:val="center"/>
              <w:textAlignment w:val="auto"/>
              <w:outlineLvl w:val="9"/>
              <w:rPr>
                <w:rFonts w:hint="eastAsia" w:ascii="方正仿宋简体" w:hAnsi="方正仿宋简体" w:eastAsia="方正仿宋简体" w:cs="方正仿宋简体"/>
                <w:kern w:val="2"/>
                <w:sz w:val="28"/>
                <w:szCs w:val="28"/>
                <w:highlight w:val="none"/>
                <w:vertAlign w:val="baseline"/>
                <w:lang w:val="en-US" w:eastAsia="zh-CN" w:bidi="ar-SA"/>
              </w:rPr>
            </w:pPr>
            <w:r>
              <w:rPr>
                <w:rFonts w:hint="eastAsia" w:ascii="方正仿宋简体" w:hAnsi="方正仿宋简体" w:eastAsia="方正仿宋简体" w:cs="方正仿宋简体"/>
                <w:sz w:val="28"/>
                <w:szCs w:val="28"/>
                <w:highlight w:val="none"/>
                <w:vertAlign w:val="baseline"/>
                <w:lang w:val="en-US" w:eastAsia="zh-CN"/>
              </w:rPr>
              <w:t>井陉县教育局</w:t>
            </w:r>
          </w:p>
        </w:tc>
        <w:tc>
          <w:tcPr>
            <w:tcW w:w="2895" w:type="dxa"/>
            <w:vAlign w:val="top"/>
          </w:tcPr>
          <w:p w14:paraId="05DEA1B2">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right="0" w:rightChars="0" w:firstLine="0" w:firstLineChars="0"/>
              <w:jc w:val="center"/>
              <w:textAlignment w:val="auto"/>
              <w:outlineLvl w:val="9"/>
              <w:rPr>
                <w:rFonts w:hint="eastAsia" w:ascii="方正仿宋简体" w:hAnsi="方正仿宋简体" w:eastAsia="方正仿宋简体" w:cs="方正仿宋简体"/>
                <w:kern w:val="2"/>
                <w:sz w:val="28"/>
                <w:szCs w:val="28"/>
                <w:highlight w:val="none"/>
                <w:vertAlign w:val="baseline"/>
                <w:lang w:val="en-US" w:eastAsia="zh-CN" w:bidi="ar-SA"/>
              </w:rPr>
            </w:pPr>
            <w:r>
              <w:rPr>
                <w:rFonts w:hint="eastAsia" w:ascii="方正仿宋简体" w:hAnsi="方正仿宋简体" w:eastAsia="方正仿宋简体" w:cs="方正仿宋简体"/>
                <w:sz w:val="28"/>
                <w:szCs w:val="28"/>
                <w:highlight w:val="none"/>
                <w:vertAlign w:val="baseline"/>
                <w:lang w:val="en-US" w:eastAsia="zh-CN"/>
              </w:rPr>
              <w:t>发展规划股副股长</w:t>
            </w:r>
          </w:p>
        </w:tc>
        <w:tc>
          <w:tcPr>
            <w:tcW w:w="2533" w:type="dxa"/>
            <w:vAlign w:val="top"/>
          </w:tcPr>
          <w:p w14:paraId="54BE9603">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right="0" w:rightChars="0" w:firstLine="0" w:firstLineChars="0"/>
              <w:jc w:val="center"/>
              <w:textAlignment w:val="auto"/>
              <w:outlineLvl w:val="9"/>
              <w:rPr>
                <w:rFonts w:hint="eastAsia" w:ascii="方正仿宋简体" w:hAnsi="方正仿宋简体" w:eastAsia="方正仿宋简体" w:cs="方正仿宋简体"/>
                <w:kern w:val="2"/>
                <w:sz w:val="28"/>
                <w:szCs w:val="28"/>
                <w:highlight w:val="none"/>
                <w:vertAlign w:val="baseline"/>
                <w:lang w:val="en-US" w:eastAsia="zh-CN" w:bidi="ar-SA"/>
              </w:rPr>
            </w:pPr>
            <w:r>
              <w:rPr>
                <w:rFonts w:hint="eastAsia" w:ascii="方正仿宋简体" w:hAnsi="方正仿宋简体" w:eastAsia="方正仿宋简体" w:cs="方正仿宋简体"/>
                <w:sz w:val="28"/>
                <w:szCs w:val="28"/>
                <w:highlight w:val="none"/>
                <w:vertAlign w:val="baseline"/>
                <w:lang w:val="en-US" w:eastAsia="zh-CN"/>
              </w:rPr>
              <w:t>中小学一级教师</w:t>
            </w:r>
          </w:p>
        </w:tc>
      </w:tr>
      <w:tr w14:paraId="691E4B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80" w:type="dxa"/>
          </w:tcPr>
          <w:p w14:paraId="600AC096">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方正仿宋简体" w:hAnsi="方正仿宋简体" w:eastAsia="方正仿宋简体" w:cs="方正仿宋简体"/>
                <w:sz w:val="28"/>
                <w:szCs w:val="28"/>
                <w:highlight w:val="none"/>
                <w:vertAlign w:val="baseline"/>
                <w:lang w:val="en-US" w:eastAsia="zh-CN"/>
              </w:rPr>
            </w:pPr>
            <w:r>
              <w:rPr>
                <w:rFonts w:hint="eastAsia" w:ascii="方正仿宋简体" w:hAnsi="方正仿宋简体" w:eastAsia="方正仿宋简体" w:cs="方正仿宋简体"/>
                <w:sz w:val="28"/>
                <w:szCs w:val="28"/>
                <w:highlight w:val="none"/>
                <w:vertAlign w:val="baseline"/>
                <w:lang w:val="en-US" w:eastAsia="zh-CN"/>
              </w:rPr>
              <w:t>尹丽荣</w:t>
            </w:r>
          </w:p>
        </w:tc>
        <w:tc>
          <w:tcPr>
            <w:tcW w:w="2040" w:type="dxa"/>
          </w:tcPr>
          <w:p w14:paraId="6B4E6770">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方正仿宋简体" w:hAnsi="方正仿宋简体" w:eastAsia="方正仿宋简体" w:cs="方正仿宋简体"/>
                <w:sz w:val="28"/>
                <w:szCs w:val="28"/>
                <w:highlight w:val="none"/>
                <w:vertAlign w:val="baseline"/>
              </w:rPr>
            </w:pPr>
            <w:r>
              <w:rPr>
                <w:rFonts w:hint="eastAsia" w:ascii="方正仿宋简体" w:hAnsi="方正仿宋简体" w:eastAsia="方正仿宋简体" w:cs="方正仿宋简体"/>
                <w:sz w:val="28"/>
                <w:szCs w:val="28"/>
                <w:highlight w:val="none"/>
                <w:vertAlign w:val="baseline"/>
                <w:lang w:val="en-US" w:eastAsia="zh-CN"/>
              </w:rPr>
              <w:t>井陉县教育局</w:t>
            </w:r>
          </w:p>
        </w:tc>
        <w:tc>
          <w:tcPr>
            <w:tcW w:w="2895" w:type="dxa"/>
          </w:tcPr>
          <w:p w14:paraId="7DA35555">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方正仿宋简体" w:hAnsi="方正仿宋简体" w:eastAsia="方正仿宋简体" w:cs="方正仿宋简体"/>
                <w:sz w:val="28"/>
                <w:szCs w:val="28"/>
                <w:highlight w:val="none"/>
                <w:vertAlign w:val="baseline"/>
                <w:lang w:val="en-US" w:eastAsia="zh-CN"/>
              </w:rPr>
            </w:pPr>
            <w:r>
              <w:rPr>
                <w:rFonts w:hint="eastAsia" w:ascii="方正仿宋简体" w:hAnsi="方正仿宋简体" w:eastAsia="方正仿宋简体" w:cs="方正仿宋简体"/>
                <w:sz w:val="28"/>
                <w:szCs w:val="28"/>
                <w:highlight w:val="none"/>
                <w:vertAlign w:val="baseline"/>
                <w:lang w:val="en-US" w:eastAsia="zh-CN"/>
              </w:rPr>
              <w:t>会计</w:t>
            </w:r>
          </w:p>
        </w:tc>
        <w:tc>
          <w:tcPr>
            <w:tcW w:w="2533" w:type="dxa"/>
          </w:tcPr>
          <w:p w14:paraId="69205F1D">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方正仿宋简体" w:hAnsi="方正仿宋简体" w:eastAsia="方正仿宋简体" w:cs="方正仿宋简体"/>
                <w:sz w:val="28"/>
                <w:szCs w:val="28"/>
                <w:highlight w:val="none"/>
                <w:vertAlign w:val="baseline"/>
              </w:rPr>
            </w:pPr>
            <w:r>
              <w:rPr>
                <w:rFonts w:hint="eastAsia" w:ascii="方正仿宋简体" w:hAnsi="方正仿宋简体" w:eastAsia="方正仿宋简体" w:cs="方正仿宋简体"/>
                <w:sz w:val="28"/>
                <w:szCs w:val="28"/>
                <w:highlight w:val="none"/>
                <w:vertAlign w:val="baseline"/>
                <w:lang w:val="en-US" w:eastAsia="zh-CN"/>
              </w:rPr>
              <w:t>中小学二级教师</w:t>
            </w:r>
          </w:p>
        </w:tc>
      </w:tr>
      <w:tr w14:paraId="21AB22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80" w:type="dxa"/>
          </w:tcPr>
          <w:p w14:paraId="671AED4B">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方正仿宋简体" w:hAnsi="方正仿宋简体" w:eastAsia="方正仿宋简体" w:cs="方正仿宋简体"/>
                <w:sz w:val="28"/>
                <w:szCs w:val="28"/>
                <w:highlight w:val="none"/>
                <w:vertAlign w:val="baseline"/>
                <w:lang w:val="en-US" w:eastAsia="zh-CN"/>
              </w:rPr>
            </w:pPr>
            <w:r>
              <w:rPr>
                <w:rFonts w:hint="eastAsia" w:ascii="方正仿宋简体" w:hAnsi="方正仿宋简体" w:eastAsia="方正仿宋简体" w:cs="方正仿宋简体"/>
                <w:sz w:val="28"/>
                <w:szCs w:val="28"/>
                <w:highlight w:val="none"/>
                <w:vertAlign w:val="baseline"/>
                <w:lang w:val="en-US" w:eastAsia="zh-CN"/>
              </w:rPr>
              <w:t>王丽娜</w:t>
            </w:r>
          </w:p>
        </w:tc>
        <w:tc>
          <w:tcPr>
            <w:tcW w:w="2040" w:type="dxa"/>
            <w:vAlign w:val="top"/>
          </w:tcPr>
          <w:p w14:paraId="44CBF4B0">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right="0" w:rightChars="0" w:firstLine="0" w:firstLineChars="0"/>
              <w:jc w:val="center"/>
              <w:textAlignment w:val="auto"/>
              <w:outlineLvl w:val="9"/>
              <w:rPr>
                <w:rFonts w:hint="eastAsia" w:ascii="方正仿宋简体" w:hAnsi="方正仿宋简体" w:eastAsia="方正仿宋简体" w:cs="方正仿宋简体"/>
                <w:kern w:val="2"/>
                <w:sz w:val="28"/>
                <w:szCs w:val="28"/>
                <w:highlight w:val="none"/>
                <w:vertAlign w:val="baseline"/>
                <w:lang w:val="en-US" w:eastAsia="zh-CN" w:bidi="ar-SA"/>
              </w:rPr>
            </w:pPr>
            <w:r>
              <w:rPr>
                <w:rFonts w:hint="eastAsia" w:ascii="方正仿宋简体" w:hAnsi="方正仿宋简体" w:eastAsia="方正仿宋简体" w:cs="方正仿宋简体"/>
                <w:sz w:val="28"/>
                <w:szCs w:val="28"/>
                <w:highlight w:val="none"/>
                <w:vertAlign w:val="baseline"/>
                <w:lang w:val="en-US" w:eastAsia="zh-CN"/>
              </w:rPr>
              <w:t>井陉县教育局</w:t>
            </w:r>
          </w:p>
        </w:tc>
        <w:tc>
          <w:tcPr>
            <w:tcW w:w="2895" w:type="dxa"/>
            <w:vAlign w:val="top"/>
          </w:tcPr>
          <w:p w14:paraId="2951CAA2">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right="0" w:rightChars="0" w:firstLine="0" w:firstLineChars="0"/>
              <w:jc w:val="center"/>
              <w:textAlignment w:val="auto"/>
              <w:outlineLvl w:val="9"/>
              <w:rPr>
                <w:rFonts w:hint="eastAsia" w:ascii="方正仿宋简体" w:hAnsi="方正仿宋简体" w:eastAsia="方正仿宋简体" w:cs="方正仿宋简体"/>
                <w:kern w:val="2"/>
                <w:sz w:val="28"/>
                <w:szCs w:val="28"/>
                <w:highlight w:val="none"/>
                <w:vertAlign w:val="baseline"/>
                <w:lang w:val="en-US" w:eastAsia="zh-CN" w:bidi="ar-SA"/>
              </w:rPr>
            </w:pPr>
            <w:r>
              <w:rPr>
                <w:rFonts w:hint="eastAsia" w:ascii="方正仿宋简体" w:hAnsi="方正仿宋简体" w:eastAsia="方正仿宋简体" w:cs="方正仿宋简体"/>
                <w:sz w:val="28"/>
                <w:szCs w:val="28"/>
                <w:highlight w:val="none"/>
                <w:vertAlign w:val="baseline"/>
                <w:lang w:val="en-US" w:eastAsia="zh-CN"/>
              </w:rPr>
              <w:t>会计</w:t>
            </w:r>
          </w:p>
        </w:tc>
        <w:tc>
          <w:tcPr>
            <w:tcW w:w="2533" w:type="dxa"/>
          </w:tcPr>
          <w:p w14:paraId="3AB755DC">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default" w:ascii="方正仿宋简体" w:hAnsi="方正仿宋简体" w:eastAsia="方正仿宋简体" w:cs="方正仿宋简体"/>
                <w:sz w:val="28"/>
                <w:szCs w:val="28"/>
                <w:highlight w:val="none"/>
                <w:vertAlign w:val="baseline"/>
                <w:lang w:val="en-US" w:eastAsia="zh-CN"/>
              </w:rPr>
            </w:pPr>
            <w:r>
              <w:rPr>
                <w:rFonts w:hint="eastAsia" w:ascii="方正仿宋简体" w:hAnsi="方正仿宋简体" w:eastAsia="方正仿宋简体" w:cs="方正仿宋简体"/>
                <w:sz w:val="28"/>
                <w:szCs w:val="28"/>
                <w:highlight w:val="none"/>
                <w:vertAlign w:val="baseline"/>
                <w:lang w:val="en-US" w:eastAsia="zh-CN"/>
              </w:rPr>
              <w:t>中小学一级教师</w:t>
            </w:r>
          </w:p>
        </w:tc>
      </w:tr>
      <w:tr w14:paraId="513091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80" w:type="dxa"/>
          </w:tcPr>
          <w:p w14:paraId="0574C87E">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方正仿宋简体" w:hAnsi="方正仿宋简体" w:eastAsia="方正仿宋简体" w:cs="方正仿宋简体"/>
                <w:sz w:val="28"/>
                <w:szCs w:val="28"/>
                <w:highlight w:val="none"/>
                <w:vertAlign w:val="baseline"/>
                <w:lang w:val="en-US" w:eastAsia="zh-CN"/>
              </w:rPr>
            </w:pPr>
            <w:r>
              <w:rPr>
                <w:rFonts w:hint="eastAsia" w:ascii="方正仿宋简体" w:hAnsi="方正仿宋简体" w:eastAsia="方正仿宋简体" w:cs="方正仿宋简体"/>
                <w:sz w:val="28"/>
                <w:szCs w:val="28"/>
                <w:highlight w:val="none"/>
                <w:vertAlign w:val="baseline"/>
                <w:lang w:val="en-US" w:eastAsia="zh-CN"/>
              </w:rPr>
              <w:t>冀海花</w:t>
            </w:r>
          </w:p>
        </w:tc>
        <w:tc>
          <w:tcPr>
            <w:tcW w:w="2040" w:type="dxa"/>
          </w:tcPr>
          <w:p w14:paraId="4B67D1E7">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方正仿宋简体" w:hAnsi="方正仿宋简体" w:eastAsia="方正仿宋简体" w:cs="方正仿宋简体"/>
                <w:sz w:val="28"/>
                <w:szCs w:val="28"/>
                <w:highlight w:val="none"/>
                <w:vertAlign w:val="baseline"/>
              </w:rPr>
            </w:pPr>
            <w:r>
              <w:rPr>
                <w:rFonts w:hint="eastAsia" w:ascii="方正仿宋简体" w:hAnsi="方正仿宋简体" w:eastAsia="方正仿宋简体" w:cs="方正仿宋简体"/>
                <w:sz w:val="28"/>
                <w:szCs w:val="28"/>
                <w:highlight w:val="none"/>
                <w:vertAlign w:val="baseline"/>
                <w:lang w:val="en-US" w:eastAsia="zh-CN"/>
              </w:rPr>
              <w:t>井陉县教育局</w:t>
            </w:r>
          </w:p>
        </w:tc>
        <w:tc>
          <w:tcPr>
            <w:tcW w:w="2895" w:type="dxa"/>
          </w:tcPr>
          <w:p w14:paraId="5E069B77">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方正仿宋简体" w:hAnsi="方正仿宋简体" w:eastAsia="方正仿宋简体" w:cs="方正仿宋简体"/>
                <w:sz w:val="28"/>
                <w:szCs w:val="28"/>
                <w:highlight w:val="none"/>
                <w:vertAlign w:val="baseline"/>
                <w:lang w:val="en-US" w:eastAsia="zh-CN"/>
              </w:rPr>
            </w:pPr>
            <w:r>
              <w:rPr>
                <w:rFonts w:hint="eastAsia" w:ascii="方正仿宋简体" w:hAnsi="方正仿宋简体" w:eastAsia="方正仿宋简体" w:cs="方正仿宋简体"/>
                <w:sz w:val="28"/>
                <w:szCs w:val="28"/>
                <w:highlight w:val="none"/>
                <w:vertAlign w:val="baseline"/>
                <w:lang w:val="en-US" w:eastAsia="zh-CN"/>
              </w:rPr>
              <w:t>出纳</w:t>
            </w:r>
          </w:p>
        </w:tc>
        <w:tc>
          <w:tcPr>
            <w:tcW w:w="2533" w:type="dxa"/>
          </w:tcPr>
          <w:p w14:paraId="14140192">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方正仿宋简体" w:hAnsi="方正仿宋简体" w:eastAsia="方正仿宋简体" w:cs="方正仿宋简体"/>
                <w:sz w:val="28"/>
                <w:szCs w:val="28"/>
                <w:highlight w:val="none"/>
                <w:vertAlign w:val="baseline"/>
              </w:rPr>
            </w:pPr>
            <w:r>
              <w:rPr>
                <w:rFonts w:hint="eastAsia" w:ascii="方正仿宋简体" w:hAnsi="方正仿宋简体" w:eastAsia="方正仿宋简体" w:cs="方正仿宋简体"/>
                <w:sz w:val="28"/>
                <w:szCs w:val="28"/>
                <w:highlight w:val="none"/>
                <w:vertAlign w:val="baseline"/>
                <w:lang w:val="en-US" w:eastAsia="zh-CN"/>
              </w:rPr>
              <w:t>中小学一级教师</w:t>
            </w:r>
          </w:p>
        </w:tc>
      </w:tr>
    </w:tbl>
    <w:p w14:paraId="7E841525">
      <w:pPr>
        <w:spacing w:line="560" w:lineRule="exact"/>
        <w:rPr>
          <w:rFonts w:ascii="仿宋" w:hAnsi="仿宋" w:eastAsia="仿宋"/>
        </w:rPr>
      </w:pPr>
    </w:p>
    <w:p w14:paraId="3B8C4CD9">
      <w:pPr>
        <w:pStyle w:val="2"/>
        <w:keepNext w:val="0"/>
        <w:keepLines w:val="0"/>
        <w:pageBreakBefore w:val="0"/>
        <w:widowControl w:val="0"/>
        <w:numPr>
          <w:ilvl w:val="0"/>
          <w:numId w:val="0"/>
        </w:numPr>
        <w:kinsoku/>
        <w:wordWrap/>
        <w:overflowPunct/>
        <w:topLinePunct w:val="0"/>
        <w:autoSpaceDE/>
        <w:autoSpaceDN/>
        <w:bidi w:val="0"/>
        <w:adjustRightInd/>
        <w:snapToGrid/>
        <w:spacing w:after="0" w:line="560" w:lineRule="exact"/>
        <w:textAlignment w:val="auto"/>
        <w:rPr>
          <w:rFonts w:hint="eastAsia" w:ascii="方正仿宋简体" w:hAnsi="方正仿宋简体" w:eastAsia="方正仿宋简体" w:cs="方正仿宋简体"/>
          <w:color w:val="auto"/>
          <w:kern w:val="2"/>
          <w:sz w:val="32"/>
          <w:szCs w:val="32"/>
          <w:highlight w:val="none"/>
          <w:lang w:val="en-US" w:eastAsia="zh-CN" w:bidi="ar-SA"/>
        </w:rPr>
      </w:pPr>
    </w:p>
    <w:p w14:paraId="1D98CAC1">
      <w:pPr>
        <w:pStyle w:val="2"/>
        <w:keepNext w:val="0"/>
        <w:keepLines w:val="0"/>
        <w:pageBreakBefore w:val="0"/>
        <w:widowControl w:val="0"/>
        <w:numPr>
          <w:ilvl w:val="0"/>
          <w:numId w:val="0"/>
        </w:numPr>
        <w:kinsoku/>
        <w:wordWrap/>
        <w:overflowPunct/>
        <w:topLinePunct w:val="0"/>
        <w:autoSpaceDE/>
        <w:autoSpaceDN/>
        <w:bidi w:val="0"/>
        <w:adjustRightInd/>
        <w:snapToGrid/>
        <w:spacing w:after="0" w:line="560" w:lineRule="exact"/>
        <w:jc w:val="right"/>
        <w:textAlignment w:val="auto"/>
        <w:rPr>
          <w:rFonts w:hint="default" w:ascii="方正仿宋简体" w:hAnsi="方正仿宋简体" w:eastAsia="方正仿宋简体" w:cs="方正仿宋简体"/>
          <w:color w:val="auto"/>
          <w:kern w:val="2"/>
          <w:sz w:val="32"/>
          <w:szCs w:val="32"/>
          <w:highlight w:val="none"/>
          <w:lang w:val="en-US" w:eastAsia="zh-CN" w:bidi="ar-SA"/>
        </w:rPr>
      </w:pPr>
      <w:r>
        <w:rPr>
          <w:rFonts w:hint="eastAsia" w:ascii="方正仿宋简体" w:hAnsi="方正仿宋简体" w:eastAsia="方正仿宋简体" w:cs="方正仿宋简体"/>
          <w:color w:val="auto"/>
          <w:kern w:val="2"/>
          <w:sz w:val="32"/>
          <w:szCs w:val="32"/>
          <w:highlight w:val="none"/>
          <w:lang w:val="en-US" w:eastAsia="zh-CN" w:bidi="ar-SA"/>
        </w:rPr>
        <w:t xml:space="preserve">                                                            井陉县教育局                                                          2025年4月30日</w:t>
      </w:r>
    </w:p>
    <w:sectPr>
      <w:footerReference r:id="rId3" w:type="default"/>
      <w:pgSz w:w="11906" w:h="16838"/>
      <w:pgMar w:top="1587" w:right="1587" w:bottom="1587"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方正仿宋简体">
    <w:panose1 w:val="03000509000000000000"/>
    <w:charset w:val="86"/>
    <w:family w:val="auto"/>
    <w:pitch w:val="default"/>
    <w:sig w:usb0="00000001" w:usb1="080E0000" w:usb2="00000000" w:usb3="00000000" w:csb0="00040000" w:csb1="00000000"/>
  </w:font>
  <w:font w:name="方正黑体简体">
    <w:panose1 w:val="03000509000000000000"/>
    <w:charset w:val="86"/>
    <w:family w:val="auto"/>
    <w:pitch w:val="default"/>
    <w:sig w:usb0="00000001" w:usb1="080E0000" w:usb2="00000000" w:usb3="00000000" w:csb0="00040000" w:csb1="00000000"/>
  </w:font>
  <w:font w:name="方正楷体简体">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760B5E">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BA6DE7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1BA6DE7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33CA17F"/>
    <w:multiLevelType w:val="singleLevel"/>
    <w:tmpl w:val="933CA17F"/>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C7D22B4"/>
    <w:rsid w:val="0EB97A43"/>
    <w:rsid w:val="0EBD2122"/>
    <w:rsid w:val="0F214EAE"/>
    <w:rsid w:val="11B71E6A"/>
    <w:rsid w:val="137D4CF6"/>
    <w:rsid w:val="191709EB"/>
    <w:rsid w:val="1AAF0063"/>
    <w:rsid w:val="1BE140DE"/>
    <w:rsid w:val="1C663047"/>
    <w:rsid w:val="1EB91676"/>
    <w:rsid w:val="21FC2C2C"/>
    <w:rsid w:val="248C197D"/>
    <w:rsid w:val="252959AF"/>
    <w:rsid w:val="277A6671"/>
    <w:rsid w:val="292D35B7"/>
    <w:rsid w:val="2FEE537E"/>
    <w:rsid w:val="31151E97"/>
    <w:rsid w:val="33EB6CFF"/>
    <w:rsid w:val="35A12947"/>
    <w:rsid w:val="37387040"/>
    <w:rsid w:val="3A6B16E8"/>
    <w:rsid w:val="3B0548E0"/>
    <w:rsid w:val="3B625C0A"/>
    <w:rsid w:val="3CEE1963"/>
    <w:rsid w:val="4187528B"/>
    <w:rsid w:val="436B78D3"/>
    <w:rsid w:val="45563222"/>
    <w:rsid w:val="48B60C1B"/>
    <w:rsid w:val="4C9C27FE"/>
    <w:rsid w:val="4C9D6756"/>
    <w:rsid w:val="4E062917"/>
    <w:rsid w:val="512260B4"/>
    <w:rsid w:val="52BD6ACB"/>
    <w:rsid w:val="55537534"/>
    <w:rsid w:val="561A74F1"/>
    <w:rsid w:val="587C2A35"/>
    <w:rsid w:val="58D577EC"/>
    <w:rsid w:val="597244E8"/>
    <w:rsid w:val="5A5D3965"/>
    <w:rsid w:val="5E372077"/>
    <w:rsid w:val="5EB71C30"/>
    <w:rsid w:val="5ED44DA1"/>
    <w:rsid w:val="65E57974"/>
    <w:rsid w:val="66AF0CE5"/>
    <w:rsid w:val="69D841C9"/>
    <w:rsid w:val="69FE0964"/>
    <w:rsid w:val="6AA27932"/>
    <w:rsid w:val="6AC537CF"/>
    <w:rsid w:val="6C4420BF"/>
    <w:rsid w:val="6D7215CB"/>
    <w:rsid w:val="6D994052"/>
    <w:rsid w:val="6E5B14A6"/>
    <w:rsid w:val="711B255E"/>
    <w:rsid w:val="77D543BA"/>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w:basedOn w:val="1"/>
    <w:unhideWhenUsed/>
    <w:qFormat/>
    <w:uiPriority w:val="99"/>
    <w:pPr>
      <w:spacing w:after="120" w:afterLines="0" w:afterAutospacing="0"/>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5">
    <w:name w:val="Normal (Web)"/>
    <w:basedOn w:val="1"/>
    <w:qFormat/>
    <w:uiPriority w:val="0"/>
    <w:pPr>
      <w:widowControl/>
      <w:spacing w:before="100" w:beforeAutospacing="1" w:after="100" w:afterAutospacing="1"/>
      <w:jc w:val="left"/>
    </w:pPr>
    <w:rPr>
      <w:rFonts w:ascii="宋体" w:hAnsi="宋体" w:cs="宋体"/>
      <w:kern w:val="0"/>
      <w:sz w:val="24"/>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4292</Words>
  <Characters>4633</Characters>
  <Lines>4</Lines>
  <Paragraphs>1</Paragraphs>
  <TotalTime>0</TotalTime>
  <ScaleCrop>false</ScaleCrop>
  <LinksUpToDate>false</LinksUpToDate>
  <CharactersWithSpaces>4664</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Fiona</cp:lastModifiedBy>
  <cp:lastPrinted>2024-03-06T07:40:00Z</cp:lastPrinted>
  <dcterms:modified xsi:type="dcterms:W3CDTF">2025-11-05T09:01:46Z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807859DDDB204D7484EDDFBB4E9D1D2E</vt:lpwstr>
  </property>
  <property fmtid="{D5CDD505-2E9C-101B-9397-08002B2CF9AE}" pid="4" name="KSOTemplateDocerSaveRecord">
    <vt:lpwstr>eyJoZGlkIjoiZmNlYjhkODkzODVhZDQxZTIyOGFkZGVhMzBkNTUzZmEiLCJ1c2VySWQiOiIyNDgyNjgxOTkifQ==</vt:lpwstr>
  </property>
</Properties>
</file>