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53A9EE">
      <w:pPr>
        <w:spacing w:line="560" w:lineRule="exact"/>
        <w:jc w:val="both"/>
        <w:rPr>
          <w:rFonts w:ascii="宋体" w:hAnsi="宋体" w:cs="宋体"/>
          <w:b/>
          <w:bCs/>
          <w:sz w:val="44"/>
          <w:szCs w:val="44"/>
        </w:rPr>
      </w:pPr>
    </w:p>
    <w:p w14:paraId="7265842B">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井陉县教育局</w:t>
      </w:r>
    </w:p>
    <w:p w14:paraId="4DBA04E0">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年度部门整体支出绩效自评报告</w:t>
      </w:r>
    </w:p>
    <w:p w14:paraId="15F89217">
      <w:pPr>
        <w:spacing w:line="560" w:lineRule="exact"/>
        <w:jc w:val="center"/>
        <w:rPr>
          <w:rFonts w:ascii="华文楷体" w:eastAsia="华文楷体"/>
          <w:sz w:val="32"/>
          <w:szCs w:val="32"/>
        </w:rPr>
      </w:pPr>
    </w:p>
    <w:p w14:paraId="07D409FC">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贯彻落实市委市政府《关于全面落实预算绩效管理的实施意见》（石发﹝2019﹞8号）文件精神，遵循“科学性、规范性、客观性和公正性”的原则，对</w:t>
      </w:r>
      <w:r>
        <w:rPr>
          <w:rFonts w:hint="eastAsia" w:ascii="方正仿宋简体" w:hAnsi="方正仿宋简体" w:eastAsia="方正仿宋简体" w:cs="方正仿宋简体"/>
          <w:sz w:val="32"/>
          <w:szCs w:val="32"/>
          <w:lang w:val="en-US" w:eastAsia="zh-CN"/>
        </w:rPr>
        <w:t>井陉县教育局</w:t>
      </w:r>
      <w:r>
        <w:rPr>
          <w:rFonts w:hint="eastAsia" w:ascii="方正仿宋简体" w:hAnsi="方正仿宋简体" w:eastAsia="方正仿宋简体" w:cs="方正仿宋简体"/>
          <w:sz w:val="32"/>
          <w:szCs w:val="32"/>
        </w:rPr>
        <w:t>部门202</w:t>
      </w:r>
      <w:r>
        <w:rPr>
          <w:rFonts w:hint="eastAsia" w:ascii="方正仿宋简体" w:hAnsi="方正仿宋简体" w:eastAsia="方正仿宋简体" w:cs="方正仿宋简体"/>
          <w:sz w:val="32"/>
          <w:szCs w:val="32"/>
          <w:lang w:val="en-US" w:eastAsia="zh-CN"/>
        </w:rPr>
        <w:t>3</w:t>
      </w:r>
      <w:r>
        <w:rPr>
          <w:rFonts w:hint="eastAsia" w:ascii="方正仿宋简体" w:hAnsi="方正仿宋简体" w:eastAsia="方正仿宋简体" w:cs="方正仿宋简体"/>
          <w:sz w:val="32"/>
          <w:szCs w:val="32"/>
        </w:rPr>
        <w:t>年整体支出情况实施了财政支出绩效自评价，形成本评价报告。</w:t>
      </w:r>
    </w:p>
    <w:p w14:paraId="7B9CBD9E">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4B90FA48">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（一）部门概况</w:t>
      </w:r>
    </w:p>
    <w:p w14:paraId="1ADCB8D6">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lang w:val="en-US" w:eastAsia="zh-CN"/>
        </w:rPr>
        <w:t>1.</w:t>
      </w:r>
      <w:r>
        <w:rPr>
          <w:rFonts w:hint="eastAsia" w:ascii="方正仿宋简体" w:hAnsi="方正仿宋简体" w:eastAsia="方正仿宋简体" w:cs="方正仿宋简体"/>
          <w:sz w:val="32"/>
          <w:szCs w:val="32"/>
        </w:rPr>
        <w:t>根据《井陉县教育局职能配置、内设机构和人员编制规定》，井陉县教育局的主要职责是：</w:t>
      </w:r>
    </w:p>
    <w:p w14:paraId="6C5CDC1A">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贯彻执行上级有关教育工作的法律法规和方针政策；拟订全县教育改革与发展规划并组织实施。</w:t>
      </w:r>
    </w:p>
    <w:p w14:paraId="748DEC5C">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负责各级各类教育的统筹规划和协调管理，拟订教育工作的长远规划和年度计划并组织实施。</w:t>
      </w:r>
    </w:p>
    <w:p w14:paraId="1F63F200">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负责推进义务教育均衡发展和促进教育公平，综合管理和宏观指导全县学前教育、义务教育、普通高中教育、职业教育、特殊教育、成人教育、老年教育、社会力量办学等工作；负责教育督导与评估验收；负责全县语言文字工作。</w:t>
      </w:r>
    </w:p>
    <w:p w14:paraId="6CC4CCDB">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负责统筹规划和协调指导全县教育体制改革工作。</w:t>
      </w:r>
    </w:p>
    <w:p w14:paraId="225B238C">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全面实施素质教育。负责指导各级各类学校的德育、智育、体育、美育、劳动教育、国防教育和法制教育工作；统筹规划、协调指导远程教育和教育信息化工作；指导教育教研和科研工作，组织学校承担国家、省、市下达的科研项目，推动科研成果的转化和推广。</w:t>
      </w:r>
    </w:p>
    <w:p w14:paraId="04E17FAE">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负责省、市、县拨付教育经费的统筹管理，参与拟订教育经费筹集、教育拨款、教育基建投资政策，指导所属学校后勤管理，负责教育基本信息的统计分析。</w:t>
      </w:r>
    </w:p>
    <w:p w14:paraId="17E5E2C2">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负责全县教育系统人才队伍建设的统筹规划、管理工作；负责全县中小学校长队伍建设和教师继续教育工作；负责全县教育系统校务公开工作。</w:t>
      </w:r>
    </w:p>
    <w:p w14:paraId="3BBBE533">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负责全县教育系统安全和维护稳定工作；会同有关部门做好学校安全、学校及周边环境治理、预防青少年犯罪工作；依法组织或参与组织有关安全事故的调查处理。</w:t>
      </w:r>
    </w:p>
    <w:p w14:paraId="3DFBCC32">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负责组织各类教育招生、考试工作。</w:t>
      </w:r>
    </w:p>
    <w:p w14:paraId="7294FE52">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负责对外教育交流和合作工作。</w:t>
      </w:r>
    </w:p>
    <w:p w14:paraId="0AF2E885">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负责所属事业单位、直属学校党群、思想政治、宣传统战、精神文明建设和廉政建设工作；按照干部管理权限负责所属事业单位、直属学校领导班子建设；负责所属事业单位、直属学校领导干部的考察、任免等工作，指导所属事业单位、直属学校中层干部队伍建设和校级后备干部队伍建设。</w:t>
      </w:r>
    </w:p>
    <w:p w14:paraId="5499DB93">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负责全县教育系统党的政治建设、思想建设、组织建设、作风建设、纪律建设和制度建设。协调推动教育系统思想政治、意识形态工作，以及国家教育发展战略、中长期规划、教育重大政策和体制改革方案的落实。</w:t>
      </w:r>
    </w:p>
    <w:p w14:paraId="5E4675F5">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承办县委、县政府交办的其他任务。</w:t>
      </w:r>
    </w:p>
    <w:p w14:paraId="1F2B84FD">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2.机构、人员构成</w:t>
      </w:r>
    </w:p>
    <w:p w14:paraId="4FEB721F">
      <w:pPr>
        <w:adjustRightInd w:val="0"/>
        <w:snapToGrid w:val="0"/>
        <w:spacing w:line="560" w:lineRule="exact"/>
        <w:ind w:firstLine="640" w:firstLineChars="200"/>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井陉县教育局共有预算单位</w:t>
      </w:r>
      <w:r>
        <w:rPr>
          <w:rFonts w:hint="eastAsia" w:ascii="方正仿宋简体" w:hAnsi="方正仿宋简体" w:eastAsia="方正仿宋简体" w:cs="方正仿宋简体"/>
          <w:sz w:val="32"/>
          <w:szCs w:val="32"/>
          <w:lang w:val="en-US" w:eastAsia="zh-CN"/>
        </w:rPr>
        <w:t>36</w:t>
      </w:r>
      <w:r>
        <w:rPr>
          <w:rFonts w:hint="eastAsia" w:ascii="方正仿宋简体" w:hAnsi="方正仿宋简体" w:eastAsia="方正仿宋简体" w:cs="方正仿宋简体"/>
          <w:sz w:val="32"/>
          <w:szCs w:val="32"/>
        </w:rPr>
        <w:t>个。包括局本级、各级各类学校所属二级预算单位。2023年末部门实有在职2766人，其中：行政在职人员11人，事业编制在职人员2755人；离休人员3人,特岗教师146人。</w:t>
      </w:r>
    </w:p>
    <w:p w14:paraId="3FD80B41">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2042EAA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2023年预算收入65919</w:t>
      </w:r>
      <w:r>
        <w:rPr>
          <w:rFonts w:hint="eastAsia" w:ascii="仿宋" w:hAnsi="仿宋" w:eastAsia="仿宋"/>
          <w:sz w:val="32"/>
          <w:szCs w:val="32"/>
          <w:lang w:val="en-US" w:eastAsia="zh-CN"/>
        </w:rPr>
        <w:t>.</w:t>
      </w:r>
      <w:r>
        <w:rPr>
          <w:rFonts w:hint="eastAsia" w:ascii="仿宋" w:hAnsi="仿宋" w:eastAsia="仿宋"/>
          <w:sz w:val="32"/>
          <w:szCs w:val="32"/>
        </w:rPr>
        <w:t>072622</w:t>
      </w:r>
      <w:r>
        <w:rPr>
          <w:rFonts w:hint="eastAsia" w:ascii="仿宋" w:hAnsi="仿宋" w:eastAsia="仿宋"/>
          <w:sz w:val="32"/>
          <w:szCs w:val="32"/>
          <w:lang w:val="en-US" w:eastAsia="zh-CN"/>
        </w:rPr>
        <w:t>万</w:t>
      </w:r>
      <w:r>
        <w:rPr>
          <w:rFonts w:hint="eastAsia" w:ascii="仿宋" w:hAnsi="仿宋" w:eastAsia="仿宋"/>
          <w:sz w:val="32"/>
          <w:szCs w:val="32"/>
        </w:rPr>
        <w:t>元，其中：一般公共预算收入61942</w:t>
      </w:r>
      <w:r>
        <w:rPr>
          <w:rFonts w:hint="eastAsia" w:ascii="仿宋" w:hAnsi="仿宋" w:eastAsia="仿宋"/>
          <w:sz w:val="32"/>
          <w:szCs w:val="32"/>
          <w:lang w:val="en-US" w:eastAsia="zh-CN"/>
        </w:rPr>
        <w:t>.</w:t>
      </w:r>
      <w:r>
        <w:rPr>
          <w:rFonts w:hint="eastAsia" w:ascii="仿宋" w:hAnsi="仿宋" w:eastAsia="仿宋"/>
          <w:sz w:val="32"/>
          <w:szCs w:val="32"/>
        </w:rPr>
        <w:t>724181</w:t>
      </w:r>
      <w:r>
        <w:rPr>
          <w:rFonts w:hint="eastAsia" w:ascii="仿宋" w:hAnsi="仿宋" w:eastAsia="仿宋"/>
          <w:sz w:val="32"/>
          <w:szCs w:val="32"/>
          <w:lang w:val="en-US" w:eastAsia="zh-CN"/>
        </w:rPr>
        <w:t>万</w:t>
      </w:r>
      <w:r>
        <w:rPr>
          <w:rFonts w:hint="eastAsia" w:ascii="仿宋" w:hAnsi="仿宋" w:eastAsia="仿宋"/>
          <w:sz w:val="32"/>
          <w:szCs w:val="32"/>
        </w:rPr>
        <w:t>元，</w:t>
      </w:r>
      <w:r>
        <w:rPr>
          <w:rFonts w:hint="eastAsia" w:ascii="仿宋" w:hAnsi="仿宋" w:eastAsia="仿宋"/>
          <w:sz w:val="32"/>
          <w:szCs w:val="32"/>
          <w:lang w:val="en-US" w:eastAsia="zh-CN"/>
        </w:rPr>
        <w:t>占总收入的93.97%；</w:t>
      </w:r>
      <w:r>
        <w:rPr>
          <w:rFonts w:hint="eastAsia" w:ascii="仿宋" w:hAnsi="仿宋" w:eastAsia="仿宋"/>
          <w:sz w:val="32"/>
          <w:szCs w:val="32"/>
        </w:rPr>
        <w:t>基金预算收入0元</w:t>
      </w:r>
      <w:r>
        <w:rPr>
          <w:rFonts w:hint="eastAsia" w:ascii="仿宋" w:hAnsi="仿宋" w:eastAsia="仿宋"/>
          <w:sz w:val="32"/>
          <w:szCs w:val="32"/>
          <w:lang w:eastAsia="zh-CN"/>
        </w:rPr>
        <w:t>；</w:t>
      </w:r>
      <w:r>
        <w:rPr>
          <w:rFonts w:hint="eastAsia" w:ascii="仿宋" w:hAnsi="仿宋" w:eastAsia="仿宋"/>
          <w:sz w:val="32"/>
          <w:szCs w:val="32"/>
        </w:rPr>
        <w:t>财政专户核拨收入841</w:t>
      </w:r>
      <w:r>
        <w:rPr>
          <w:rFonts w:hint="eastAsia" w:ascii="仿宋" w:hAnsi="仿宋" w:eastAsia="仿宋"/>
          <w:sz w:val="32"/>
          <w:szCs w:val="32"/>
          <w:lang w:val="en-US" w:eastAsia="zh-CN"/>
        </w:rPr>
        <w:t>.</w:t>
      </w:r>
      <w:r>
        <w:rPr>
          <w:rFonts w:hint="eastAsia" w:ascii="仿宋" w:hAnsi="仿宋" w:eastAsia="仿宋"/>
          <w:sz w:val="32"/>
          <w:szCs w:val="32"/>
        </w:rPr>
        <w:t>072</w:t>
      </w:r>
      <w:r>
        <w:rPr>
          <w:rFonts w:hint="eastAsia" w:ascii="仿宋" w:hAnsi="仿宋" w:eastAsia="仿宋"/>
          <w:sz w:val="32"/>
          <w:szCs w:val="32"/>
          <w:lang w:val="en-US" w:eastAsia="zh-CN"/>
        </w:rPr>
        <w:t>万</w:t>
      </w:r>
      <w:r>
        <w:rPr>
          <w:rFonts w:hint="eastAsia" w:ascii="仿宋" w:hAnsi="仿宋" w:eastAsia="仿宋"/>
          <w:sz w:val="32"/>
          <w:szCs w:val="32"/>
        </w:rPr>
        <w:t>元，</w:t>
      </w:r>
      <w:r>
        <w:rPr>
          <w:rFonts w:hint="eastAsia" w:ascii="仿宋" w:hAnsi="仿宋" w:eastAsia="仿宋"/>
          <w:sz w:val="32"/>
          <w:szCs w:val="32"/>
          <w:lang w:val="en-US" w:eastAsia="zh-CN"/>
        </w:rPr>
        <w:t>占总收入的1.28%；上年结转结余</w:t>
      </w:r>
      <w:r>
        <w:rPr>
          <w:rFonts w:hint="eastAsia" w:ascii="仿宋" w:hAnsi="仿宋" w:eastAsia="仿宋"/>
          <w:sz w:val="32"/>
          <w:szCs w:val="32"/>
        </w:rPr>
        <w:t>收入3135</w:t>
      </w:r>
      <w:r>
        <w:rPr>
          <w:rFonts w:hint="eastAsia" w:ascii="仿宋" w:hAnsi="仿宋" w:eastAsia="仿宋"/>
          <w:sz w:val="32"/>
          <w:szCs w:val="32"/>
          <w:lang w:val="en-US" w:eastAsia="zh-CN"/>
        </w:rPr>
        <w:t>.</w:t>
      </w:r>
      <w:r>
        <w:rPr>
          <w:rFonts w:hint="eastAsia" w:ascii="仿宋" w:hAnsi="仿宋" w:eastAsia="仿宋"/>
          <w:sz w:val="32"/>
          <w:szCs w:val="32"/>
        </w:rPr>
        <w:t>276441元</w:t>
      </w:r>
      <w:r>
        <w:rPr>
          <w:rFonts w:hint="eastAsia" w:ascii="仿宋" w:hAnsi="仿宋" w:eastAsia="仿宋"/>
          <w:sz w:val="32"/>
          <w:szCs w:val="32"/>
          <w:lang w:eastAsia="zh-CN"/>
        </w:rPr>
        <w:t>，</w:t>
      </w:r>
      <w:r>
        <w:rPr>
          <w:rFonts w:hint="eastAsia" w:ascii="仿宋" w:hAnsi="仿宋" w:eastAsia="仿宋"/>
          <w:sz w:val="32"/>
          <w:szCs w:val="32"/>
          <w:lang w:val="en-US" w:eastAsia="zh-CN"/>
        </w:rPr>
        <w:t>占总收入的4.75%</w:t>
      </w:r>
      <w:r>
        <w:rPr>
          <w:rFonts w:hint="eastAsia" w:ascii="仿宋" w:hAnsi="仿宋" w:eastAsia="仿宋"/>
          <w:sz w:val="32"/>
          <w:szCs w:val="32"/>
        </w:rPr>
        <w:t>。</w:t>
      </w:r>
    </w:p>
    <w:p w14:paraId="2C1795A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2023年决算支出62962.927825万元，其中：基本支出45011.977689万元，占总支出的71.49%；项目支出17950.950136万元，占总支出的28.51%。</w:t>
      </w:r>
    </w:p>
    <w:p w14:paraId="51216CE7">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tbl>
      <w:tblPr>
        <w:tblStyle w:val="7"/>
        <w:tblW w:w="864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90"/>
        <w:gridCol w:w="1374"/>
        <w:gridCol w:w="2505"/>
        <w:gridCol w:w="2325"/>
        <w:gridCol w:w="1746"/>
      </w:tblGrid>
      <w:tr w14:paraId="4D3129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5" w:hRule="atLeast"/>
        </w:trPr>
        <w:tc>
          <w:tcPr>
            <w:tcW w:w="8640" w:type="dxa"/>
            <w:gridSpan w:val="5"/>
            <w:tcBorders>
              <w:top w:val="nil"/>
              <w:left w:val="nil"/>
              <w:bottom w:val="nil"/>
              <w:right w:val="nil"/>
            </w:tcBorders>
            <w:shd w:val="clear" w:color="auto" w:fill="auto"/>
            <w:vAlign w:val="center"/>
          </w:tcPr>
          <w:p w14:paraId="6A1C13CA">
            <w:pPr>
              <w:keepNext w:val="0"/>
              <w:keepLines w:val="0"/>
              <w:pageBreakBefore w:val="0"/>
              <w:widowControl/>
              <w:suppressLineNumbers w:val="0"/>
              <w:kinsoku/>
              <w:overflowPunct/>
              <w:topLinePunct w:val="0"/>
              <w:autoSpaceDE/>
              <w:autoSpaceDN/>
              <w:bidi w:val="0"/>
              <w:spacing w:line="600" w:lineRule="exact"/>
              <w:ind w:firstLine="640" w:firstLineChars="200"/>
              <w:jc w:val="left"/>
              <w:textAlignment w:val="center"/>
              <w:rPr>
                <w:rFonts w:hint="eastAsia" w:ascii="宋体" w:hAnsi="宋体" w:eastAsia="宋体" w:cs="宋体"/>
                <w:i w:val="0"/>
                <w:iCs w:val="0"/>
                <w:color w:val="000000"/>
                <w:sz w:val="18"/>
                <w:szCs w:val="18"/>
                <w:highlight w:val="none"/>
                <w:u w:val="none"/>
              </w:rPr>
            </w:pPr>
            <w:r>
              <w:rPr>
                <w:rFonts w:hint="eastAsia" w:ascii="方正仿宋简体" w:hAnsi="方正仿宋简体" w:eastAsia="方正仿宋简体" w:cs="方正仿宋简体"/>
                <w:i w:val="0"/>
                <w:iCs w:val="0"/>
                <w:color w:val="000000"/>
                <w:kern w:val="0"/>
                <w:sz w:val="32"/>
                <w:szCs w:val="32"/>
                <w:highlight w:val="none"/>
                <w:u w:val="none"/>
                <w:lang w:val="en-US" w:eastAsia="zh-CN" w:bidi="ar"/>
              </w:rPr>
              <w:t>根据部门整体支出绩效目标自评表，结合教育工作实际情况，特制定如下目标表：</w:t>
            </w:r>
          </w:p>
        </w:tc>
      </w:tr>
      <w:tr w14:paraId="4000C7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B0B395">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一级指标</w:t>
            </w:r>
          </w:p>
        </w:tc>
        <w:tc>
          <w:tcPr>
            <w:tcW w:w="13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FCBD062">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二级指标</w:t>
            </w:r>
          </w:p>
        </w:tc>
        <w:tc>
          <w:tcPr>
            <w:tcW w:w="250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2114B8">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三级指标</w:t>
            </w:r>
          </w:p>
        </w:tc>
        <w:tc>
          <w:tcPr>
            <w:tcW w:w="23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AF8BE3">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年度指标值</w:t>
            </w:r>
          </w:p>
        </w:tc>
        <w:tc>
          <w:tcPr>
            <w:tcW w:w="174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F8F5FE">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分值</w:t>
            </w:r>
          </w:p>
        </w:tc>
      </w:tr>
      <w:tr w14:paraId="09520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609F50">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FFA746">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250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8BA65F">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23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AC79AD">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74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175714">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r>
      <w:tr w14:paraId="3012C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5" w:hRule="atLeast"/>
        </w:trPr>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520EC9">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管理指标</w:t>
            </w:r>
          </w:p>
        </w:tc>
        <w:tc>
          <w:tcPr>
            <w:tcW w:w="13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EA56B">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预算编审管理</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33D6D">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预算编制完整性、准确性</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58C09">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按要求编制完整、准确</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2AB3D">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w:t>
            </w:r>
          </w:p>
        </w:tc>
      </w:tr>
      <w:tr w14:paraId="4080F5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5"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8D4493">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714298">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预算执行管理</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14AC89">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部门预算完成率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28DA9">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5E047">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cs="宋体"/>
                <w:i w:val="0"/>
                <w:iCs w:val="0"/>
                <w:color w:val="000000"/>
                <w:kern w:val="0"/>
                <w:sz w:val="18"/>
                <w:szCs w:val="18"/>
                <w:highlight w:val="none"/>
                <w:u w:val="none"/>
                <w:lang w:val="en-US" w:eastAsia="zh-CN" w:bidi="ar"/>
              </w:rPr>
              <w:t>3</w:t>
            </w:r>
          </w:p>
        </w:tc>
      </w:tr>
      <w:tr w14:paraId="58A1FA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5"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C9E62A">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193D7A">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1A9C8">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公用经费控制率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1379A">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A809A">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w:t>
            </w:r>
          </w:p>
        </w:tc>
      </w:tr>
      <w:tr w14:paraId="146E7F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0D4B93">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A5AFCF">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91960">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三公经费控制率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2F001">
            <w:pPr>
              <w:keepNext w:val="0"/>
              <w:keepLines w:val="0"/>
              <w:pageBreakBefore w:val="0"/>
              <w:widowControl/>
              <w:suppressLineNumbers w:val="0"/>
              <w:kinsoku/>
              <w:overflowPunct/>
              <w:topLinePunct w:val="0"/>
              <w:autoSpaceDE/>
              <w:autoSpaceDN/>
              <w:bidi w:val="0"/>
              <w:spacing w:line="60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DC192">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w:t>
            </w:r>
          </w:p>
        </w:tc>
      </w:tr>
      <w:tr w14:paraId="65406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FBB8BC">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A224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部门结转结余资金管理</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EEFC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结转结余率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A352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6DC6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w:t>
            </w:r>
          </w:p>
        </w:tc>
      </w:tr>
      <w:tr w14:paraId="43E68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E3EBF4">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726E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预决算信息公开管理</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124D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预决算信息公开性、基础信息完善性</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3141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信息公开性、完善性</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9190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w:t>
            </w:r>
          </w:p>
        </w:tc>
      </w:tr>
      <w:tr w14:paraId="51829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F1E995">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F830C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部门预算管理</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213D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在职人员控制率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1696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2898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w:t>
            </w:r>
          </w:p>
        </w:tc>
      </w:tr>
      <w:tr w14:paraId="6A2FC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135DA4">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9D8BB3">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8"/>
                <w:szCs w:val="18"/>
                <w:highlight w:val="none"/>
                <w:u w:val="none"/>
              </w:rPr>
            </w:pP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857B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资金使用合规性</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AD22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是否符合相关的预算财务管理制度的规定、预算资金的规范运行情况</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28D8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w:t>
            </w:r>
          </w:p>
        </w:tc>
      </w:tr>
      <w:tr w14:paraId="2E671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40DA3D">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0D79D8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资产管理</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DD20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资产管理安全性</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8959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6BFE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w:t>
            </w:r>
          </w:p>
        </w:tc>
      </w:tr>
      <w:tr w14:paraId="6EB6F5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E2F2B9">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D36A53">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8"/>
                <w:szCs w:val="18"/>
                <w:highlight w:val="none"/>
                <w:u w:val="none"/>
              </w:rPr>
            </w:pP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DAC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固定资产利用率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F74C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15DF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w:t>
            </w:r>
          </w:p>
        </w:tc>
      </w:tr>
      <w:tr w14:paraId="6A410C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5" w:hRule="atLeast"/>
        </w:trPr>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959410">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产出指标</w:t>
            </w:r>
          </w:p>
        </w:tc>
        <w:tc>
          <w:tcPr>
            <w:tcW w:w="13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ABBAA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数量指标</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A2E2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部门政务服务情况完成率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B5D4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ED62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7</w:t>
            </w:r>
          </w:p>
        </w:tc>
      </w:tr>
      <w:tr w14:paraId="3AA60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5D2837">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0BAEB0">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8"/>
                <w:szCs w:val="18"/>
                <w:highlight w:val="none"/>
                <w:u w:val="none"/>
              </w:rPr>
            </w:pP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3B3F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部门年度重点工作完成率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E76D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787C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7</w:t>
            </w:r>
          </w:p>
        </w:tc>
      </w:tr>
      <w:tr w14:paraId="63828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5D9E88">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23B8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质量指标</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E9B9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cs="宋体"/>
                <w:i w:val="0"/>
                <w:iCs w:val="0"/>
                <w:color w:val="000000"/>
                <w:sz w:val="18"/>
                <w:szCs w:val="18"/>
                <w:highlight w:val="none"/>
                <w:u w:val="none"/>
                <w:lang w:val="en-US" w:eastAsia="zh-CN"/>
              </w:rPr>
              <w:t>认真迎接各级各类督导检查，顺利通过率</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1633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A5B1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8</w:t>
            </w:r>
          </w:p>
        </w:tc>
      </w:tr>
      <w:tr w14:paraId="3A4A7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4AF1EC">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A575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时效指标</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248E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资金给付的及时性</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5280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EA99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8</w:t>
            </w:r>
          </w:p>
        </w:tc>
      </w:tr>
      <w:tr w14:paraId="0824C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2C8A41">
            <w:pPr>
              <w:keepNext w:val="0"/>
              <w:keepLines w:val="0"/>
              <w:pageBreakBefore w:val="0"/>
              <w:widowControl/>
              <w:suppressLineNumbers w:val="0"/>
              <w:kinsoku/>
              <w:overflowPunct/>
              <w:topLinePunct w:val="0"/>
              <w:autoSpaceDE/>
              <w:autoSpaceDN/>
              <w:bidi w:val="0"/>
              <w:spacing w:line="60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效果指标</w:t>
            </w:r>
          </w:p>
        </w:tc>
        <w:tc>
          <w:tcPr>
            <w:tcW w:w="13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AF76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经济效益指标</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968C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宋体" w:hAnsi="宋体" w:eastAsia="宋体" w:cs="宋体"/>
                <w:i w:val="0"/>
                <w:iCs w:val="0"/>
                <w:color w:val="000000"/>
                <w:sz w:val="18"/>
                <w:szCs w:val="18"/>
                <w:highlight w:val="none"/>
                <w:u w:val="none"/>
                <w:lang w:val="en-US"/>
              </w:rPr>
            </w:pPr>
            <w:r>
              <w:rPr>
                <w:rFonts w:hint="eastAsia" w:ascii="宋体" w:hAnsi="宋体" w:eastAsia="宋体" w:cs="宋体"/>
                <w:i w:val="0"/>
                <w:iCs w:val="0"/>
                <w:color w:val="000000"/>
                <w:kern w:val="0"/>
                <w:sz w:val="18"/>
                <w:szCs w:val="18"/>
                <w:highlight w:val="none"/>
                <w:u w:val="none"/>
                <w:lang w:val="en-US" w:eastAsia="zh-CN" w:bidi="ar"/>
              </w:rPr>
              <w:t>预算执行率，财政资金发挥最大效益</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9B70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7177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宋体" w:hAnsi="宋体" w:eastAsia="宋体" w:cs="宋体"/>
                <w:i w:val="0"/>
                <w:iCs w:val="0"/>
                <w:color w:val="000000"/>
                <w:sz w:val="18"/>
                <w:szCs w:val="18"/>
                <w:highlight w:val="none"/>
                <w:u w:val="none"/>
                <w:lang w:val="en-US"/>
              </w:rPr>
            </w:pPr>
            <w:r>
              <w:rPr>
                <w:rFonts w:hint="eastAsia" w:ascii="宋体" w:hAnsi="宋体" w:eastAsia="宋体" w:cs="宋体"/>
                <w:i w:val="0"/>
                <w:iCs w:val="0"/>
                <w:color w:val="000000"/>
                <w:kern w:val="0"/>
                <w:sz w:val="18"/>
                <w:szCs w:val="18"/>
                <w:highlight w:val="none"/>
                <w:u w:val="none"/>
                <w:lang w:val="en-US" w:eastAsia="zh-CN" w:bidi="ar"/>
              </w:rPr>
              <w:t>10</w:t>
            </w:r>
          </w:p>
        </w:tc>
      </w:tr>
      <w:tr w14:paraId="2DEB84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2178DE0">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4D374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社会效益指标</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71C2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办好学校教育,提升社会影响力</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A5CD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提高社会影响力，得到广大师生的充分认可，提高学生入学率。</w:t>
            </w:r>
          </w:p>
        </w:tc>
        <w:tc>
          <w:tcPr>
            <w:tcW w:w="174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4D51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r>
      <w:tr w14:paraId="4C41F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1CA64D">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14C30C">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8"/>
                <w:szCs w:val="18"/>
                <w:highlight w:val="none"/>
                <w:u w:val="none"/>
              </w:rPr>
            </w:pP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653C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改善办学条件,提高办学水平</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29CA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促进各级各类教育进一步发展</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CCCC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r>
      <w:tr w14:paraId="7F324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B98967">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AA6584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可持续发展能力</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FB9B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cs="宋体"/>
                <w:i w:val="0"/>
                <w:iCs w:val="0"/>
                <w:color w:val="000000"/>
                <w:kern w:val="0"/>
                <w:sz w:val="18"/>
                <w:szCs w:val="18"/>
                <w:highlight w:val="none"/>
                <w:u w:val="none"/>
                <w:lang w:val="en-US" w:eastAsia="zh-CN" w:bidi="ar"/>
              </w:rPr>
              <w:t>困难</w:t>
            </w:r>
            <w:r>
              <w:rPr>
                <w:rFonts w:hint="eastAsia" w:ascii="宋体" w:hAnsi="宋体" w:eastAsia="宋体" w:cs="宋体"/>
                <w:i w:val="0"/>
                <w:iCs w:val="0"/>
                <w:color w:val="000000"/>
                <w:kern w:val="0"/>
                <w:sz w:val="18"/>
                <w:szCs w:val="18"/>
                <w:highlight w:val="none"/>
                <w:u w:val="none"/>
                <w:lang w:val="en-US" w:eastAsia="zh-CN" w:bidi="ar"/>
              </w:rPr>
              <w:t>学生</w:t>
            </w:r>
            <w:r>
              <w:rPr>
                <w:rFonts w:hint="eastAsia" w:ascii="宋体" w:hAnsi="宋体" w:cs="宋体"/>
                <w:i w:val="0"/>
                <w:iCs w:val="0"/>
                <w:color w:val="000000"/>
                <w:kern w:val="0"/>
                <w:sz w:val="18"/>
                <w:szCs w:val="18"/>
                <w:highlight w:val="none"/>
                <w:u w:val="none"/>
                <w:lang w:val="en-US" w:eastAsia="zh-CN" w:bidi="ar"/>
              </w:rPr>
              <w:t>安心</w:t>
            </w:r>
            <w:r>
              <w:rPr>
                <w:rFonts w:hint="eastAsia" w:ascii="宋体" w:hAnsi="宋体" w:eastAsia="宋体" w:cs="宋体"/>
                <w:i w:val="0"/>
                <w:iCs w:val="0"/>
                <w:color w:val="000000"/>
                <w:kern w:val="0"/>
                <w:sz w:val="18"/>
                <w:szCs w:val="18"/>
                <w:highlight w:val="none"/>
                <w:u w:val="none"/>
                <w:lang w:val="en-US" w:eastAsia="zh-CN" w:bidi="ar"/>
              </w:rPr>
              <w:t>学习</w:t>
            </w:r>
            <w:r>
              <w:rPr>
                <w:rFonts w:hint="eastAsia" w:ascii="宋体" w:hAnsi="宋体" w:cs="宋体"/>
                <w:i w:val="0"/>
                <w:iCs w:val="0"/>
                <w:color w:val="000000"/>
                <w:kern w:val="0"/>
                <w:sz w:val="18"/>
                <w:szCs w:val="18"/>
                <w:highlight w:val="none"/>
                <w:u w:val="none"/>
                <w:lang w:val="en-US" w:eastAsia="zh-CN" w:bidi="ar"/>
              </w:rPr>
              <w:t>，顺利完成学业，持续推动教育公平。</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85B2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cs="宋体"/>
                <w:i w:val="0"/>
                <w:iCs w:val="0"/>
                <w:color w:val="000000"/>
                <w:kern w:val="0"/>
                <w:sz w:val="18"/>
                <w:szCs w:val="18"/>
                <w:highlight w:val="none"/>
                <w:u w:val="none"/>
                <w:lang w:val="en-US" w:eastAsia="zh-CN" w:bidi="ar"/>
              </w:rPr>
              <w:t>困难</w:t>
            </w:r>
            <w:r>
              <w:rPr>
                <w:rFonts w:hint="eastAsia" w:ascii="宋体" w:hAnsi="宋体" w:eastAsia="宋体" w:cs="宋体"/>
                <w:i w:val="0"/>
                <w:iCs w:val="0"/>
                <w:color w:val="000000"/>
                <w:kern w:val="0"/>
                <w:sz w:val="18"/>
                <w:szCs w:val="18"/>
                <w:highlight w:val="none"/>
                <w:u w:val="none"/>
                <w:lang w:val="en-US" w:eastAsia="zh-CN" w:bidi="ar"/>
              </w:rPr>
              <w:t>学生</w:t>
            </w:r>
            <w:r>
              <w:rPr>
                <w:rFonts w:hint="eastAsia" w:ascii="宋体" w:hAnsi="宋体" w:cs="宋体"/>
                <w:i w:val="0"/>
                <w:iCs w:val="0"/>
                <w:color w:val="000000"/>
                <w:kern w:val="0"/>
                <w:sz w:val="18"/>
                <w:szCs w:val="18"/>
                <w:highlight w:val="none"/>
                <w:u w:val="none"/>
                <w:lang w:val="en-US" w:eastAsia="zh-CN" w:bidi="ar"/>
              </w:rPr>
              <w:t>安心</w:t>
            </w:r>
            <w:r>
              <w:rPr>
                <w:rFonts w:hint="eastAsia" w:ascii="宋体" w:hAnsi="宋体" w:eastAsia="宋体" w:cs="宋体"/>
                <w:i w:val="0"/>
                <w:iCs w:val="0"/>
                <w:color w:val="000000"/>
                <w:kern w:val="0"/>
                <w:sz w:val="18"/>
                <w:szCs w:val="18"/>
                <w:highlight w:val="none"/>
                <w:u w:val="none"/>
                <w:lang w:val="en-US" w:eastAsia="zh-CN" w:bidi="ar"/>
              </w:rPr>
              <w:t>学习</w:t>
            </w:r>
            <w:r>
              <w:rPr>
                <w:rFonts w:hint="eastAsia" w:ascii="宋体" w:hAnsi="宋体" w:cs="宋体"/>
                <w:i w:val="0"/>
                <w:iCs w:val="0"/>
                <w:color w:val="000000"/>
                <w:kern w:val="0"/>
                <w:sz w:val="18"/>
                <w:szCs w:val="18"/>
                <w:highlight w:val="none"/>
                <w:u w:val="none"/>
                <w:lang w:val="en-US" w:eastAsia="zh-CN" w:bidi="ar"/>
              </w:rPr>
              <w:t>，顺利完成学业，持续推动教育公平。</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22F4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r>
      <w:tr w14:paraId="0524BE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BBDBF6">
            <w:pPr>
              <w:keepNext w:val="0"/>
              <w:keepLines w:val="0"/>
              <w:pageBreakBefore w:val="0"/>
              <w:kinsoku/>
              <w:overflowPunct/>
              <w:topLinePunct w:val="0"/>
              <w:autoSpaceDE/>
              <w:autoSpaceDN/>
              <w:bidi w:val="0"/>
              <w:spacing w:line="600" w:lineRule="exact"/>
              <w:jc w:val="center"/>
              <w:rPr>
                <w:rFonts w:hint="eastAsia" w:ascii="宋体" w:hAnsi="宋体" w:eastAsia="宋体" w:cs="宋体"/>
                <w:i w:val="0"/>
                <w:iCs w:val="0"/>
                <w:color w:val="000000"/>
                <w:sz w:val="18"/>
                <w:szCs w:val="18"/>
                <w:highlight w:val="none"/>
                <w:u w:val="none"/>
              </w:rPr>
            </w:pPr>
          </w:p>
        </w:tc>
        <w:tc>
          <w:tcPr>
            <w:tcW w:w="137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2A9DB2">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8"/>
                <w:szCs w:val="18"/>
                <w:highlight w:val="none"/>
                <w:u w:val="none"/>
              </w:rPr>
            </w:pP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BBA5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教育部门工作持续发展</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2869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教育部门工作持续、平稳、优质、高效发展</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16F4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r>
      <w:tr w14:paraId="2C90E5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ED9A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满意度指标</w:t>
            </w:r>
          </w:p>
        </w:tc>
        <w:tc>
          <w:tcPr>
            <w:tcW w:w="13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4DAA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满意度指标</w:t>
            </w:r>
          </w:p>
        </w:tc>
        <w:tc>
          <w:tcPr>
            <w:tcW w:w="25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81C8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服务对象满意度</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983B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B3C3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10</w:t>
            </w:r>
          </w:p>
        </w:tc>
      </w:tr>
    </w:tbl>
    <w:p w14:paraId="672614CD">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76D9554">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7862F316">
      <w:pPr>
        <w:keepNext w:val="0"/>
        <w:keepLines w:val="0"/>
        <w:pageBreakBefore w:val="0"/>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方正仿宋简体" w:hAnsi="方正仿宋简体" w:eastAsia="方正仿宋简体" w:cs="方正仿宋简体"/>
          <w:color w:val="auto"/>
          <w:sz w:val="32"/>
          <w:szCs w:val="32"/>
          <w:highlight w:val="none"/>
          <w:shd w:val="clear" w:color="auto" w:fill="FFFFFF"/>
        </w:rPr>
      </w:pPr>
      <w:r>
        <w:rPr>
          <w:rFonts w:hint="eastAsia" w:ascii="方正仿宋简体" w:hAnsi="方正仿宋简体" w:eastAsia="方正仿宋简体" w:cs="方正仿宋简体"/>
          <w:color w:val="auto"/>
          <w:sz w:val="32"/>
          <w:szCs w:val="32"/>
          <w:highlight w:val="none"/>
        </w:rPr>
        <w:t>根据《</w:t>
      </w:r>
      <w:r>
        <w:rPr>
          <w:rFonts w:hint="eastAsia" w:ascii="方正仿宋简体" w:hAnsi="方正仿宋简体" w:eastAsia="方正仿宋简体" w:cs="方正仿宋简体"/>
          <w:color w:val="auto"/>
          <w:sz w:val="32"/>
          <w:szCs w:val="32"/>
          <w:highlight w:val="none"/>
          <w:lang w:val="en-US" w:eastAsia="zh-CN"/>
        </w:rPr>
        <w:t>中华人民共和国</w:t>
      </w:r>
      <w:bookmarkStart w:id="0" w:name="_GoBack"/>
      <w:bookmarkEnd w:id="0"/>
      <w:r>
        <w:rPr>
          <w:rFonts w:hint="eastAsia" w:ascii="方正仿宋简体" w:hAnsi="方正仿宋简体" w:eastAsia="方正仿宋简体" w:cs="方正仿宋简体"/>
          <w:color w:val="auto"/>
          <w:sz w:val="32"/>
          <w:szCs w:val="32"/>
          <w:highlight w:val="none"/>
        </w:rPr>
        <w:t>会计法》《</w:t>
      </w:r>
      <w:r>
        <w:rPr>
          <w:rFonts w:hint="eastAsia" w:ascii="方正仿宋简体" w:hAnsi="方正仿宋简体" w:eastAsia="方正仿宋简体" w:cs="方正仿宋简体"/>
          <w:color w:val="auto"/>
          <w:sz w:val="32"/>
          <w:szCs w:val="32"/>
          <w:highlight w:val="none"/>
          <w:lang w:val="en-US" w:eastAsia="zh-CN"/>
        </w:rPr>
        <w:t>中华人民共和国</w:t>
      </w:r>
      <w:r>
        <w:rPr>
          <w:rFonts w:hint="eastAsia" w:ascii="方正仿宋简体" w:hAnsi="方正仿宋简体" w:eastAsia="方正仿宋简体" w:cs="方正仿宋简体"/>
          <w:color w:val="auto"/>
          <w:sz w:val="32"/>
          <w:szCs w:val="32"/>
          <w:highlight w:val="none"/>
        </w:rPr>
        <w:t>预算法》《行政事业单位财务规则》规定，</w:t>
      </w:r>
      <w:r>
        <w:rPr>
          <w:rFonts w:hint="eastAsia" w:ascii="方正仿宋简体" w:hAnsi="方正仿宋简体" w:eastAsia="方正仿宋简体" w:cs="方正仿宋简体"/>
          <w:color w:val="auto"/>
          <w:sz w:val="32"/>
          <w:szCs w:val="32"/>
          <w:highlight w:val="none"/>
          <w:shd w:val="clear" w:color="auto" w:fill="FFFFFF"/>
        </w:rPr>
        <w:t>严格按照专项资金管理制度认真落实专项资金专款专用</w:t>
      </w:r>
      <w:r>
        <w:rPr>
          <w:rFonts w:hint="eastAsia" w:ascii="方正仿宋简体" w:hAnsi="方正仿宋简体" w:eastAsia="方正仿宋简体" w:cs="方正仿宋简体"/>
          <w:color w:val="auto"/>
          <w:sz w:val="32"/>
          <w:szCs w:val="32"/>
          <w:highlight w:val="none"/>
          <w:shd w:val="clear" w:color="auto" w:fill="FFFFFF"/>
          <w:lang w:eastAsia="zh-CN"/>
        </w:rPr>
        <w:t>，</w:t>
      </w:r>
      <w:r>
        <w:rPr>
          <w:rFonts w:hint="eastAsia" w:ascii="方正仿宋简体" w:hAnsi="方正仿宋简体" w:eastAsia="方正仿宋简体" w:cs="方正仿宋简体"/>
          <w:color w:val="auto"/>
          <w:sz w:val="32"/>
          <w:szCs w:val="32"/>
          <w:highlight w:val="none"/>
          <w:shd w:val="clear" w:color="auto" w:fill="FFFFFF"/>
        </w:rPr>
        <w:t>确保专项资金使用达到实效。</w:t>
      </w:r>
    </w:p>
    <w:p w14:paraId="7C4F3A6B">
      <w:pPr>
        <w:pStyle w:val="6"/>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600" w:lineRule="exact"/>
        <w:ind w:left="0" w:leftChars="0" w:firstLine="640" w:firstLineChars="200"/>
        <w:jc w:val="both"/>
        <w:textAlignment w:val="auto"/>
        <w:outlineLvl w:val="9"/>
        <w:rPr>
          <w:rFonts w:ascii="仿宋" w:hAnsi="仿宋" w:eastAsia="仿宋"/>
          <w:sz w:val="32"/>
          <w:szCs w:val="32"/>
        </w:rPr>
      </w:pPr>
      <w:r>
        <w:rPr>
          <w:rFonts w:hint="eastAsia" w:ascii="方正仿宋简体" w:hAnsi="方正仿宋简体" w:eastAsia="方正仿宋简体" w:cs="方正仿宋简体"/>
          <w:color w:val="auto"/>
          <w:sz w:val="32"/>
          <w:szCs w:val="32"/>
          <w:highlight w:val="none"/>
        </w:rPr>
        <w:t>资金拨付有完整的审批程序和手续；项目资金按规定机关评估论证，支出符合专项资金的用途，资金使用无截留、挤占、挪用、虚列支出等情况，较好地发挥了项目资金使用效益和社会效益，达到了项目所设立的绩效目标。</w:t>
      </w:r>
    </w:p>
    <w:p w14:paraId="537553D5">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1CB380E4">
      <w:pPr>
        <w:keepNext w:val="0"/>
        <w:keepLines w:val="0"/>
        <w:pageBreakBefore w:val="0"/>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方正仿宋简体" w:hAnsi="方正仿宋简体" w:eastAsia="方正仿宋简体" w:cs="方正仿宋简体"/>
          <w:color w:val="auto"/>
          <w:sz w:val="32"/>
          <w:szCs w:val="32"/>
          <w:highlight w:val="none"/>
          <w:shd w:val="clear" w:color="auto" w:fill="FFFFFF"/>
        </w:rPr>
      </w:pPr>
      <w:r>
        <w:rPr>
          <w:rFonts w:hint="eastAsia" w:ascii="方正仿宋简体" w:hAnsi="方正仿宋简体" w:eastAsia="方正仿宋简体" w:cs="方正仿宋简体"/>
          <w:color w:val="auto"/>
          <w:sz w:val="32"/>
          <w:szCs w:val="32"/>
          <w:highlight w:val="none"/>
          <w:shd w:val="clear" w:color="auto" w:fill="FFFFFF"/>
        </w:rPr>
        <w:t>1.评价方法：一是对照“部门整体支出绩效评价指标体系评分表”的主要考评内容及工作完成情况，对照当年工作计划和上级交办的各项工作内容，进行自评、复核，形成总体得分。二是组织纳入部门整体支出绩效评价范围的项目，实施绩效自评。</w:t>
      </w:r>
    </w:p>
    <w:p w14:paraId="2D4DED7A">
      <w:pPr>
        <w:keepNext w:val="0"/>
        <w:keepLines w:val="0"/>
        <w:pageBreakBefore w:val="0"/>
        <w:kinsoku/>
        <w:wordWrap/>
        <w:overflowPunct/>
        <w:topLinePunct w:val="0"/>
        <w:autoSpaceDE/>
        <w:autoSpaceDN/>
        <w:bidi w:val="0"/>
        <w:adjustRightInd/>
        <w:snapToGrid/>
        <w:spacing w:line="600" w:lineRule="exact"/>
        <w:ind w:left="0" w:leftChars="0" w:firstLine="640" w:firstLineChars="200"/>
        <w:jc w:val="both"/>
        <w:textAlignment w:val="auto"/>
        <w:outlineLvl w:val="9"/>
        <w:rPr>
          <w:rFonts w:hint="eastAsia" w:ascii="方正仿宋简体" w:hAnsi="方正仿宋简体" w:eastAsia="方正仿宋简体" w:cs="方正仿宋简体"/>
          <w:color w:val="auto"/>
          <w:sz w:val="32"/>
          <w:szCs w:val="32"/>
          <w:highlight w:val="none"/>
          <w:shd w:val="clear" w:color="auto" w:fill="FFFFFF"/>
        </w:rPr>
      </w:pPr>
      <w:r>
        <w:rPr>
          <w:rFonts w:hint="eastAsia" w:ascii="方正仿宋简体" w:hAnsi="方正仿宋简体" w:eastAsia="方正仿宋简体" w:cs="方正仿宋简体"/>
          <w:color w:val="auto"/>
          <w:sz w:val="32"/>
          <w:szCs w:val="32"/>
          <w:highlight w:val="none"/>
          <w:shd w:val="clear" w:color="auto" w:fill="FFFFFF"/>
        </w:rPr>
        <w:t>2.实施过程：成立项目自评小组，主管局长任组长，各科室负责人任副组长，科室成员任小组成员。项目执行科室为项目自评的组织科室，负责项目工作的组织、实施、自评。通过填写“县级部门预算项目绩效自评表”，撰写“自评报告”形式，进行自评。</w:t>
      </w:r>
    </w:p>
    <w:p w14:paraId="492A87A6">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34F39A15">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467DD14E">
      <w:pPr>
        <w:keepNext w:val="0"/>
        <w:keepLines w:val="0"/>
        <w:pageBreakBefore w:val="0"/>
        <w:numPr>
          <w:ilvl w:val="0"/>
          <w:numId w:val="0"/>
        </w:numPr>
        <w:kinsoku/>
        <w:wordWrap/>
        <w:overflowPunct/>
        <w:topLinePunct w:val="0"/>
        <w:autoSpaceDE/>
        <w:autoSpaceDN/>
        <w:bidi w:val="0"/>
        <w:adjustRightInd/>
        <w:snapToGrid/>
        <w:spacing w:line="600" w:lineRule="exact"/>
        <w:ind w:firstLine="643" w:firstLineChars="200"/>
        <w:jc w:val="both"/>
        <w:textAlignment w:val="auto"/>
        <w:outlineLvl w:val="9"/>
        <w:rPr>
          <w:rFonts w:hint="eastAsia" w:ascii="方正仿宋简体" w:hAnsi="方正仿宋简体" w:eastAsia="方正仿宋简体" w:cs="方正仿宋简体"/>
          <w:color w:val="auto"/>
          <w:sz w:val="32"/>
          <w:szCs w:val="32"/>
          <w:highlight w:val="none"/>
          <w:lang w:val="en-US" w:eastAsia="zh-CN"/>
        </w:rPr>
      </w:pPr>
      <w:r>
        <w:rPr>
          <w:rFonts w:hint="eastAsia" w:ascii="方正仿宋简体" w:hAnsi="方正仿宋简体" w:eastAsia="方正仿宋简体" w:cs="方正仿宋简体"/>
          <w:b/>
          <w:bCs/>
          <w:sz w:val="32"/>
          <w:szCs w:val="32"/>
          <w:lang w:val="en-US" w:eastAsia="zh-CN"/>
        </w:rPr>
        <w:t>1.资金执行情况。</w:t>
      </w:r>
      <w:r>
        <w:rPr>
          <w:rFonts w:hint="eastAsia" w:ascii="方正仿宋简体" w:hAnsi="方正仿宋简体" w:eastAsia="方正仿宋简体" w:cs="方正仿宋简体"/>
          <w:sz w:val="32"/>
          <w:szCs w:val="32"/>
          <w:lang w:val="en-US" w:eastAsia="zh-CN"/>
        </w:rPr>
        <w:t>2023年我部门年度预算安排项目105个，预算资金18100.373386万元，执行资金17950.950136万元，预算执行率为99.17%，结余资金149.42325万元</w:t>
      </w:r>
      <w:r>
        <w:rPr>
          <w:rFonts w:hint="eastAsia" w:ascii="方正仿宋简体" w:hAnsi="方正仿宋简体" w:eastAsia="方正仿宋简体" w:cs="方正仿宋简体"/>
          <w:color w:val="auto"/>
          <w:sz w:val="32"/>
          <w:szCs w:val="32"/>
          <w:highlight w:val="none"/>
          <w:lang w:eastAsia="zh-CN"/>
        </w:rPr>
        <w:t>。</w:t>
      </w:r>
      <w:r>
        <w:rPr>
          <w:rFonts w:hint="eastAsia" w:ascii="方正仿宋简体" w:hAnsi="方正仿宋简体" w:eastAsia="方正仿宋简体" w:cs="方正仿宋简体"/>
          <w:color w:val="auto"/>
          <w:sz w:val="32"/>
          <w:szCs w:val="32"/>
          <w:highlight w:val="none"/>
        </w:rPr>
        <w:t>项目</w:t>
      </w:r>
      <w:r>
        <w:rPr>
          <w:rFonts w:hint="eastAsia" w:ascii="方正仿宋简体" w:hAnsi="方正仿宋简体" w:eastAsia="方正仿宋简体" w:cs="方正仿宋简体"/>
          <w:color w:val="auto"/>
          <w:sz w:val="32"/>
          <w:szCs w:val="32"/>
          <w:highlight w:val="none"/>
          <w:lang w:val="en-US" w:eastAsia="zh-CN"/>
        </w:rPr>
        <w:t>资金</w:t>
      </w:r>
      <w:r>
        <w:rPr>
          <w:rFonts w:hint="eastAsia" w:ascii="方正仿宋简体" w:hAnsi="方正仿宋简体" w:eastAsia="方正仿宋简体" w:cs="方正仿宋简体"/>
          <w:color w:val="auto"/>
          <w:sz w:val="32"/>
          <w:szCs w:val="32"/>
          <w:highlight w:val="none"/>
        </w:rPr>
        <w:t>主要用于</w:t>
      </w:r>
      <w:r>
        <w:rPr>
          <w:rFonts w:hint="eastAsia" w:ascii="方正仿宋简体" w:hAnsi="方正仿宋简体" w:eastAsia="方正仿宋简体" w:cs="方正仿宋简体"/>
          <w:color w:val="auto"/>
          <w:sz w:val="32"/>
          <w:szCs w:val="32"/>
          <w:highlight w:val="none"/>
          <w:lang w:val="en-US" w:eastAsia="zh-CN"/>
        </w:rPr>
        <w:t>支持学前教育发展、城乡义务教育补助、改善普通高中教育、提升中职学校教育、特教学校等改善办学条件，义务教育薄弱学校改造、教师培训、学生资助等。</w:t>
      </w:r>
    </w:p>
    <w:p w14:paraId="1E271C97">
      <w:pPr>
        <w:keepNext w:val="0"/>
        <w:keepLines w:val="0"/>
        <w:pageBreakBefore w:val="0"/>
        <w:numPr>
          <w:ilvl w:val="0"/>
          <w:numId w:val="0"/>
        </w:numPr>
        <w:kinsoku/>
        <w:wordWrap/>
        <w:overflowPunct/>
        <w:topLinePunct w:val="0"/>
        <w:autoSpaceDE/>
        <w:autoSpaceDN/>
        <w:bidi w:val="0"/>
        <w:adjustRightInd/>
        <w:snapToGrid/>
        <w:spacing w:line="600" w:lineRule="exact"/>
        <w:ind w:firstLine="420" w:firstLineChars="200"/>
        <w:jc w:val="both"/>
        <w:textAlignment w:val="auto"/>
        <w:outlineLvl w:val="9"/>
        <w:rPr>
          <w:rFonts w:hint="eastAsia" w:ascii="方正仿宋简体" w:hAnsi="方正仿宋简体" w:eastAsia="方正仿宋简体" w:cs="方正仿宋简体"/>
          <w:color w:val="auto"/>
          <w:sz w:val="32"/>
          <w:szCs w:val="32"/>
          <w:highlight w:val="none"/>
          <w:lang w:val="en-US" w:eastAsia="zh-CN"/>
        </w:rPr>
      </w:pPr>
      <w:r>
        <w:rPr>
          <w:rFonts w:hint="eastAsia"/>
          <w:lang w:val="en-US" w:eastAsia="zh-CN"/>
        </w:rPr>
        <w:t xml:space="preserve"> </w:t>
      </w:r>
      <w:r>
        <w:rPr>
          <w:rFonts w:hint="eastAsia"/>
          <w:b/>
          <w:bCs/>
          <w:lang w:val="en-US" w:eastAsia="zh-CN"/>
        </w:rPr>
        <w:t xml:space="preserve">  </w:t>
      </w:r>
      <w:r>
        <w:rPr>
          <w:rFonts w:hint="eastAsia" w:ascii="方正仿宋简体" w:hAnsi="方正仿宋简体" w:eastAsia="方正仿宋简体" w:cs="方正仿宋简体"/>
          <w:b/>
          <w:bCs/>
          <w:color w:val="auto"/>
          <w:sz w:val="32"/>
          <w:szCs w:val="32"/>
          <w:highlight w:val="none"/>
          <w:lang w:val="en-US" w:eastAsia="zh-CN"/>
        </w:rPr>
        <w:t>2.目标实现情况。</w:t>
      </w:r>
      <w:r>
        <w:rPr>
          <w:rFonts w:hint="eastAsia" w:ascii="方正仿宋简体" w:hAnsi="方正仿宋简体" w:eastAsia="方正仿宋简体" w:cs="方正仿宋简体"/>
          <w:color w:val="auto"/>
          <w:sz w:val="32"/>
          <w:szCs w:val="32"/>
          <w:highlight w:val="none"/>
          <w:lang w:val="en-US" w:eastAsia="zh-CN"/>
        </w:rPr>
        <w:t xml:space="preserve"> </w:t>
      </w:r>
      <w:r>
        <w:rPr>
          <w:rFonts w:hint="default" w:ascii="Calibri" w:hAnsi="Calibri" w:eastAsia="方正仿宋简体" w:cs="Calibri"/>
          <w:color w:val="auto"/>
          <w:sz w:val="32"/>
          <w:szCs w:val="32"/>
          <w:highlight w:val="none"/>
          <w:lang w:val="en-US" w:eastAsia="zh-CN"/>
        </w:rPr>
        <w:t>①</w:t>
      </w:r>
      <w:r>
        <w:rPr>
          <w:rFonts w:hint="eastAsia" w:ascii="方正仿宋简体" w:hAnsi="方正仿宋简体" w:eastAsia="方正仿宋简体" w:cs="方正仿宋简体"/>
          <w:color w:val="auto"/>
          <w:sz w:val="32"/>
          <w:szCs w:val="32"/>
          <w:highlight w:val="none"/>
          <w:lang w:val="en-US" w:eastAsia="zh-CN"/>
        </w:rPr>
        <w:t>抓工程促提升。一是投资2500万元，完成职业技术教育中心汽修、餐旅实训中心建设项目。二是投资727万元，完成小寨小学浴室改造、北正乡中心小学食堂改造等15项义务教育学校扩容提质项目。三是投资620万元，完成小作中学水房厕所改造及楼道粉刷等14项义务教育薄弱环节改善与能力提升工程。四是投资137万元，完成第三幼儿园改扩建、第二幼儿园大门改造、长岗幼儿园改造等幼儿园建设项目。五是如期完成全县63所受灾学校、幼儿园灾后修缮恢复工程。</w:t>
      </w:r>
    </w:p>
    <w:p w14:paraId="07E0FB4C">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方正仿宋简体" w:hAnsi="方正仿宋简体" w:eastAsia="方正仿宋简体" w:cs="方正仿宋简体"/>
          <w:color w:val="auto"/>
          <w:sz w:val="32"/>
          <w:szCs w:val="32"/>
          <w:highlight w:val="none"/>
          <w:lang w:val="en-US" w:eastAsia="zh-CN"/>
        </w:rPr>
      </w:pPr>
      <w:r>
        <w:rPr>
          <w:rFonts w:hint="default" w:ascii="Calibri" w:hAnsi="Calibri" w:eastAsia="方正仿宋简体" w:cs="Calibri"/>
          <w:color w:val="auto"/>
          <w:sz w:val="32"/>
          <w:szCs w:val="32"/>
          <w:highlight w:val="none"/>
          <w:lang w:val="en-US" w:eastAsia="zh-CN"/>
        </w:rPr>
        <w:t>②</w:t>
      </w:r>
      <w:r>
        <w:rPr>
          <w:rFonts w:hint="eastAsia" w:ascii="方正仿宋简体" w:hAnsi="方正仿宋简体" w:eastAsia="方正仿宋简体" w:cs="方正仿宋简体"/>
          <w:color w:val="auto"/>
          <w:sz w:val="32"/>
          <w:szCs w:val="32"/>
          <w:highlight w:val="none"/>
          <w:lang w:val="en-US" w:eastAsia="zh-CN"/>
        </w:rPr>
        <w:t>抓统筹促发展。一是学前教育确立北良都、良河东等6所幼儿园为安吉游戏试点园，完成9所幼儿园分类定级，第三幼儿园顺利通过省级示范园复检。组织8所幼儿园与新华区幼儿园开展结对共建活动，促进区域学前教育经验交流和互助发展。二是义务教育组织召开中小学质量分析暨教学工作推进会、义务教育学校“3+X”现场观摩展示及总结交流活动，安排部分中小学校长、教师到石家庄市翟营大街小学和第四十中学学习交流。举办了“诵读之星”展示、师生汉字书写展赛、师生现场同题作文展评、中小学拉花艺术展演暨校园舞蹈大赛等系列活动。小作中学和小作小学顺利通过省义务教育课后服务示范校评估认定。组织学生参加学生信息素养提升实践活动、世界机器人大赛</w:t>
      </w:r>
      <w:r>
        <w:rPr>
          <w:rFonts w:hint="default" w:ascii="方正仿宋简体" w:hAnsi="方正仿宋简体" w:eastAsia="方正仿宋简体" w:cs="方正仿宋简体"/>
          <w:color w:val="auto"/>
          <w:sz w:val="32"/>
          <w:szCs w:val="32"/>
          <w:highlight w:val="none"/>
          <w:lang w:val="en-US" w:eastAsia="zh-CN"/>
        </w:rPr>
        <w:t>总决赛</w:t>
      </w:r>
      <w:r>
        <w:rPr>
          <w:rFonts w:hint="eastAsia" w:ascii="方正仿宋简体" w:hAnsi="方正仿宋简体" w:eastAsia="方正仿宋简体" w:cs="方正仿宋简体"/>
          <w:color w:val="auto"/>
          <w:sz w:val="32"/>
          <w:szCs w:val="32"/>
          <w:highlight w:val="none"/>
          <w:lang w:val="en-US" w:eastAsia="zh-CN"/>
        </w:rPr>
        <w:t>、锦标赛等活动，获全国一等奖4个、二等奖6个，省级奖项19个，市级奖项54个。县教育局获河北省第六届汉字书写大会优秀组织奖、石家庄市第八届中小学艺术节优秀组织奖、石家庄市“笔墨中国”“诵读中国”选拔赛活动优秀组织单位。第一小学获石家庄市中小学人工智能创客教育实验校。天长镇山北学校获石家庄市第三批劳动教育特色学校。三是高中教育深入推动教育教学改革，不断提升办学水平，井陉一中坚持“关注每一位学生成长”的理念，打造自主课堂、互动课堂和创造课堂，不断创造“低进高出，高进优出”的优异成绩。井陉二中以美术为主导，音乐、体育、编导等特长专业共同发展的特色办学模式成效显著。井陉一中、井陉二中在全市高三教学研讨会上作了典型发言。四是职业教育完成招生741人，指导170余名学生到企业实习，完成700余名安全员培训。县职教中心成功申报教育部教育考试院书画等级考试考点。在河北省个性化六届教育机器人竞赛和中小学NOC河北选拔赛智造未来两项赛事中，获2个省级二等奖，3个省级三等奖。县教育局获2023年全市职业技能大赛先进单位。五是特殊教育融合发展，组织职教中心等4所学校与特教学校开展融合活动，促进特普融通。强化教师业务培训，促进整体素养提升，2名教师荣获河北省特殊教育教学基本功展示一等奖。六是校外培训机构规范发展，成立全县联合治理小组，开展联合执法17次，关停无证培训班11所，公布2期校外培训机构白、黑名单。发放《致家长的一封信》《家长告知书》等40000余份。我县校外培训机构在全国校外监管平台机构开通率、稽核率、订单率均达到100%。</w:t>
      </w:r>
    </w:p>
    <w:p w14:paraId="04C94132">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方正仿宋简体" w:hAnsi="方正仿宋简体" w:eastAsia="方正仿宋简体" w:cs="方正仿宋简体"/>
          <w:color w:val="auto"/>
          <w:sz w:val="32"/>
          <w:szCs w:val="32"/>
          <w:highlight w:val="none"/>
          <w:lang w:val="en-US" w:eastAsia="zh-CN"/>
        </w:rPr>
      </w:pPr>
      <w:r>
        <w:rPr>
          <w:rFonts w:hint="default" w:ascii="Calibri" w:hAnsi="Calibri" w:eastAsia="方正仿宋简体" w:cs="Calibri"/>
          <w:color w:val="auto"/>
          <w:sz w:val="32"/>
          <w:szCs w:val="32"/>
          <w:highlight w:val="none"/>
          <w:lang w:val="en-US" w:eastAsia="zh-CN"/>
        </w:rPr>
        <w:t>③</w:t>
      </w:r>
      <w:r>
        <w:rPr>
          <w:rFonts w:hint="eastAsia" w:ascii="方正仿宋简体" w:hAnsi="方正仿宋简体" w:eastAsia="方正仿宋简体" w:cs="方正仿宋简体"/>
          <w:color w:val="auto"/>
          <w:sz w:val="32"/>
          <w:szCs w:val="32"/>
          <w:highlight w:val="none"/>
          <w:lang w:val="en-US" w:eastAsia="zh-CN"/>
        </w:rPr>
        <w:t>抓队伍促优化。一是招聘新教师、公费师范生51人，完成120名服务期满特岗教师考核工作，进一步完善了教师队伍长效补充机制。二是开展师德师风警示教育、在职教师有偿补课治理、“榜样在身边”师德展演等活动，印发《师德师风必读手册》4000余册，2名教师获省师德标兵，2名教师获市师德标兵。8名教师在省、市师德论坛征文暨师德风采演讲活动中获奖。三是组织校长、教师4164人次参加国培、省培、名校长讲堂、新教师入职培训等系列活动。积极与河北师范大学、石家庄学院等高校合作，组织开展顶岗实习教学技能比赛、顶岗实习生岗前培训等活动。1名教师获河北省中小学青年教师教学竞赛三等奖。3名教师获省特级教师，2名教师获县管拔尖人才，12名教师获市级优秀教育工作者、优秀教师、优秀班主任等荣誉。四是强化教研引领，承办全市“全程化、跟进式”教研及中学五个学科名师流动课堂等活动。105名教师在省市基础教育精品课评选、市教师优质课评比、说课展评、素质赛等活动中获奖，获省、市级精品课8节。深入推进信息化教学教研，组织教师参加省、市信息技术与教学融合优质课大赛、互联网+数字教育技能大赛等活动，4名教师获省级奖项，43名教师获市级奖项。2023年申报省、市级课题立项15项，结题6项。教研室被评为市教科研先进单位、市基础教育国家级优秀教学成果推广应用先进单位。</w:t>
      </w:r>
    </w:p>
    <w:p w14:paraId="0F2945C7">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both"/>
        <w:textAlignment w:val="auto"/>
        <w:outlineLvl w:val="9"/>
        <w:rPr>
          <w:rFonts w:hint="default" w:ascii="方正仿宋简体" w:hAnsi="方正仿宋简体" w:eastAsia="方正仿宋简体" w:cs="方正仿宋简体"/>
          <w:color w:val="auto"/>
          <w:sz w:val="32"/>
          <w:szCs w:val="32"/>
          <w:highlight w:val="none"/>
          <w:lang w:val="en-US" w:eastAsia="zh-CN"/>
        </w:rPr>
      </w:pPr>
      <w:r>
        <w:rPr>
          <w:rFonts w:hint="eastAsia" w:ascii="方正仿宋简体" w:hAnsi="方正仿宋简体" w:eastAsia="方正仿宋简体" w:cs="方正仿宋简体"/>
          <w:color w:val="auto"/>
          <w:sz w:val="32"/>
          <w:szCs w:val="32"/>
          <w:highlight w:val="none"/>
          <w:lang w:val="en-US" w:eastAsia="zh-CN"/>
        </w:rPr>
        <w:t>④</w:t>
      </w:r>
      <w:r>
        <w:rPr>
          <w:rFonts w:hint="default" w:ascii="方正仿宋简体" w:hAnsi="方正仿宋简体" w:eastAsia="方正仿宋简体" w:cs="方正仿宋简体"/>
          <w:color w:val="auto"/>
          <w:sz w:val="32"/>
          <w:szCs w:val="32"/>
          <w:highlight w:val="none"/>
          <w:lang w:val="en-US" w:eastAsia="zh-CN"/>
        </w:rPr>
        <w:t>强化资助政策落实</w:t>
      </w:r>
      <w:r>
        <w:rPr>
          <w:rFonts w:hint="eastAsia" w:ascii="方正仿宋简体" w:hAnsi="方正仿宋简体" w:eastAsia="方正仿宋简体" w:cs="方正仿宋简体"/>
          <w:color w:val="auto"/>
          <w:sz w:val="32"/>
          <w:szCs w:val="32"/>
          <w:highlight w:val="none"/>
          <w:lang w:val="en-US" w:eastAsia="zh-CN"/>
        </w:rPr>
        <w:t>。</w:t>
      </w:r>
      <w:r>
        <w:rPr>
          <w:rFonts w:hint="default" w:ascii="方正仿宋简体" w:hAnsi="方正仿宋简体" w:eastAsia="方正仿宋简体" w:cs="方正仿宋简体"/>
          <w:color w:val="auto"/>
          <w:sz w:val="32"/>
          <w:szCs w:val="32"/>
          <w:highlight w:val="none"/>
          <w:lang w:val="en-US" w:eastAsia="zh-CN"/>
        </w:rPr>
        <w:t>发放资助政策明白纸50000余份、《全国学生资助管理中心致初、高中毕业生的一封信》5000余封。2023年资助学生5821人次，发放资助资金419.43万元。受理国开行生源地助学贷款497人次，发放贷款558.7万元。全县92所农村学校（教学点）、9099名学生享受营养餐改善计划。</w:t>
      </w:r>
    </w:p>
    <w:p w14:paraId="0B23999F">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both"/>
        <w:textAlignment w:val="auto"/>
        <w:outlineLvl w:val="9"/>
        <w:rPr>
          <w:rFonts w:hint="eastAsia"/>
          <w:lang w:val="en-US" w:eastAsia="zh-CN"/>
        </w:rPr>
      </w:pPr>
      <w:r>
        <w:rPr>
          <w:rFonts w:hint="eastAsia" w:ascii="方正仿宋简体" w:hAnsi="方正仿宋简体" w:eastAsia="方正仿宋简体" w:cs="方正仿宋简体"/>
          <w:color w:val="auto"/>
          <w:sz w:val="32"/>
          <w:szCs w:val="32"/>
          <w:highlight w:val="none"/>
          <w:lang w:val="en-US" w:eastAsia="zh-CN"/>
        </w:rPr>
        <w:t>⑤做好</w:t>
      </w:r>
      <w:r>
        <w:rPr>
          <w:rFonts w:hint="default" w:ascii="方正仿宋简体" w:hAnsi="方正仿宋简体" w:eastAsia="方正仿宋简体" w:cs="方正仿宋简体"/>
          <w:color w:val="auto"/>
          <w:sz w:val="32"/>
          <w:szCs w:val="32"/>
          <w:highlight w:val="none"/>
          <w:lang w:val="en-US" w:eastAsia="zh-CN"/>
        </w:rPr>
        <w:t>语言文字等其他工作。承办第五届中华经典诵写讲汉字书写大赛石家庄市选拔赛暨市第十四届汉字书写节启动仪式、评审工作及作品展览和颁奖仪式。组织759人参加全县普通话测试。完成全国语言文字使用情况抽查样本县5个乡镇28个社区、村600户语言文字使用情况家庭调查工作。</w:t>
      </w:r>
    </w:p>
    <w:p w14:paraId="3CB6E761">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00DD17B7">
      <w:pPr>
        <w:keepNext w:val="0"/>
        <w:keepLines w:val="0"/>
        <w:pageBreakBefore w:val="0"/>
        <w:numPr>
          <w:ilvl w:val="0"/>
          <w:numId w:val="0"/>
        </w:numPr>
        <w:kinsoku/>
        <w:wordWrap/>
        <w:overflowPunct/>
        <w:topLinePunct w:val="0"/>
        <w:autoSpaceDE/>
        <w:autoSpaceDN/>
        <w:bidi w:val="0"/>
        <w:adjustRightInd/>
        <w:snapToGrid/>
        <w:spacing w:line="600" w:lineRule="exact"/>
        <w:ind w:firstLine="643" w:firstLineChars="200"/>
        <w:jc w:val="both"/>
        <w:textAlignment w:val="auto"/>
        <w:outlineLvl w:val="9"/>
        <w:rPr>
          <w:rFonts w:hint="eastAsia" w:ascii="方正仿宋简体" w:hAnsi="方正仿宋简体" w:eastAsia="方正仿宋简体" w:cs="方正仿宋简体"/>
          <w:b/>
          <w:bCs/>
          <w:color w:val="auto"/>
          <w:sz w:val="32"/>
          <w:szCs w:val="32"/>
          <w:highlight w:val="none"/>
          <w:lang w:val="en-US" w:eastAsia="zh-CN"/>
        </w:rPr>
      </w:pPr>
      <w:r>
        <w:rPr>
          <w:rFonts w:hint="eastAsia" w:ascii="方正仿宋简体" w:hAnsi="方正仿宋简体" w:eastAsia="方正仿宋简体" w:cs="方正仿宋简体"/>
          <w:b/>
          <w:bCs/>
          <w:color w:val="auto"/>
          <w:sz w:val="32"/>
          <w:szCs w:val="32"/>
          <w:highlight w:val="none"/>
          <w:lang w:val="en-US" w:eastAsia="zh-CN"/>
        </w:rPr>
        <w:t>1.部门管理指标满分为30分，自评得分29分。</w:t>
      </w:r>
    </w:p>
    <w:p w14:paraId="654E909A">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方正仿宋简体" w:hAnsi="方正仿宋简体" w:eastAsia="方正仿宋简体" w:cs="方正仿宋简体"/>
          <w:color w:val="auto"/>
          <w:sz w:val="32"/>
          <w:szCs w:val="32"/>
          <w:highlight w:val="none"/>
          <w:lang w:val="en-US" w:eastAsia="zh-CN"/>
        </w:rPr>
      </w:pPr>
      <w:r>
        <w:rPr>
          <w:rFonts w:hint="eastAsia" w:ascii="方正仿宋简体" w:hAnsi="方正仿宋简体" w:eastAsia="方正仿宋简体" w:cs="方正仿宋简体"/>
          <w:color w:val="auto"/>
          <w:sz w:val="32"/>
          <w:szCs w:val="32"/>
          <w:highlight w:val="none"/>
          <w:lang w:val="en-US" w:eastAsia="zh-CN"/>
        </w:rPr>
        <w:t xml:space="preserve">按要求完整准确编制年初预算，得分3分；部门预算完成率99.17%，得分3分；严格落实各级各类学校公用经费不低于政策标准，得分3分；三公经费不超年初预算，得分3分；部门全部资金结转结余率0.83%，低于5%，得分3分；预决算信息按要求完整正式公开，基础信息完善，得分3分；人员经费编制齐全，落实到位，得分3分；资金使用合规，规范运行，得分3分；固定资产严格管理，定期清查盘点，入账及时，规范处置，得分3分；固定资产利用率98%，有闲置的资产，得分2分。 </w:t>
      </w:r>
    </w:p>
    <w:p w14:paraId="3CE5F417">
      <w:pPr>
        <w:keepNext w:val="0"/>
        <w:keepLines w:val="0"/>
        <w:pageBreakBefore w:val="0"/>
        <w:numPr>
          <w:ilvl w:val="0"/>
          <w:numId w:val="0"/>
        </w:numPr>
        <w:kinsoku/>
        <w:wordWrap/>
        <w:overflowPunct/>
        <w:topLinePunct w:val="0"/>
        <w:autoSpaceDE/>
        <w:autoSpaceDN/>
        <w:bidi w:val="0"/>
        <w:adjustRightInd/>
        <w:snapToGrid/>
        <w:spacing w:line="600" w:lineRule="exact"/>
        <w:ind w:firstLine="643" w:firstLineChars="200"/>
        <w:jc w:val="both"/>
        <w:textAlignment w:val="auto"/>
        <w:outlineLvl w:val="9"/>
        <w:rPr>
          <w:rFonts w:hint="eastAsia" w:ascii="方正仿宋简体" w:hAnsi="方正仿宋简体" w:eastAsia="方正仿宋简体" w:cs="方正仿宋简体"/>
          <w:b/>
          <w:bCs/>
          <w:color w:val="auto"/>
          <w:sz w:val="32"/>
          <w:szCs w:val="32"/>
          <w:highlight w:val="none"/>
          <w:lang w:val="en-US" w:eastAsia="zh-CN"/>
        </w:rPr>
      </w:pPr>
      <w:r>
        <w:rPr>
          <w:rFonts w:hint="eastAsia" w:ascii="方正仿宋简体" w:hAnsi="方正仿宋简体" w:eastAsia="方正仿宋简体" w:cs="方正仿宋简体"/>
          <w:b/>
          <w:bCs/>
          <w:color w:val="auto"/>
          <w:sz w:val="32"/>
          <w:szCs w:val="32"/>
          <w:highlight w:val="none"/>
          <w:lang w:val="en-US" w:eastAsia="zh-CN"/>
        </w:rPr>
        <w:t>2.部门产出指标满分为30分，自评得分29分。</w:t>
      </w:r>
    </w:p>
    <w:p w14:paraId="6992A9F0">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方正仿宋简体" w:hAnsi="方正仿宋简体" w:eastAsia="方正仿宋简体" w:cs="方正仿宋简体"/>
          <w:color w:val="auto"/>
          <w:sz w:val="32"/>
          <w:szCs w:val="32"/>
          <w:highlight w:val="none"/>
          <w:lang w:val="en-US" w:eastAsia="zh-CN"/>
        </w:rPr>
      </w:pPr>
      <w:r>
        <w:rPr>
          <w:rFonts w:hint="eastAsia" w:ascii="方正仿宋简体" w:hAnsi="方正仿宋简体" w:eastAsia="方正仿宋简体" w:cs="方正仿宋简体"/>
          <w:color w:val="auto"/>
          <w:sz w:val="32"/>
          <w:szCs w:val="32"/>
          <w:highlight w:val="none"/>
          <w:lang w:val="en-US" w:eastAsia="zh-CN"/>
        </w:rPr>
        <w:t>部门职能完整，部门年度工作计划与部门年度工作目标相一致，得分7分；部门股室人员按照工作职责，认真履行，完成重点任务，得分7分；积极认真迎接各级各类督导检查工作，顺利通过各项检查，得分7分；资金及时拨付至预算单位，不存在截留、挪用等问题，得分8分。</w:t>
      </w:r>
    </w:p>
    <w:p w14:paraId="5DA409B8">
      <w:pPr>
        <w:keepNext w:val="0"/>
        <w:keepLines w:val="0"/>
        <w:pageBreakBefore w:val="0"/>
        <w:numPr>
          <w:ilvl w:val="0"/>
          <w:numId w:val="0"/>
        </w:numPr>
        <w:kinsoku/>
        <w:wordWrap/>
        <w:overflowPunct/>
        <w:topLinePunct w:val="0"/>
        <w:autoSpaceDE/>
        <w:autoSpaceDN/>
        <w:bidi w:val="0"/>
        <w:adjustRightInd/>
        <w:snapToGrid/>
        <w:spacing w:line="600" w:lineRule="exact"/>
        <w:ind w:firstLine="643" w:firstLineChars="200"/>
        <w:jc w:val="both"/>
        <w:textAlignment w:val="auto"/>
        <w:outlineLvl w:val="9"/>
        <w:rPr>
          <w:rFonts w:hint="default" w:ascii="方正仿宋简体" w:hAnsi="方正仿宋简体" w:eastAsia="方正仿宋简体" w:cs="方正仿宋简体"/>
          <w:b/>
          <w:bCs/>
          <w:color w:val="auto"/>
          <w:kern w:val="2"/>
          <w:sz w:val="32"/>
          <w:szCs w:val="32"/>
          <w:highlight w:val="none"/>
          <w:lang w:val="en-US" w:eastAsia="zh-CN" w:bidi="ar-SA"/>
        </w:rPr>
      </w:pPr>
      <w:r>
        <w:rPr>
          <w:rFonts w:hint="eastAsia" w:ascii="方正仿宋简体" w:hAnsi="方正仿宋简体" w:eastAsia="方正仿宋简体" w:cs="方正仿宋简体"/>
          <w:b/>
          <w:bCs/>
          <w:color w:val="auto"/>
          <w:kern w:val="2"/>
          <w:sz w:val="32"/>
          <w:szCs w:val="32"/>
          <w:highlight w:val="none"/>
          <w:lang w:val="en-US" w:eastAsia="zh-CN" w:bidi="ar-SA"/>
        </w:rPr>
        <w:t>3</w:t>
      </w:r>
      <w:r>
        <w:rPr>
          <w:rFonts w:hint="default" w:ascii="方正仿宋简体" w:hAnsi="方正仿宋简体" w:eastAsia="方正仿宋简体" w:cs="方正仿宋简体"/>
          <w:b/>
          <w:bCs/>
          <w:color w:val="auto"/>
          <w:kern w:val="2"/>
          <w:sz w:val="32"/>
          <w:szCs w:val="32"/>
          <w:highlight w:val="none"/>
          <w:lang w:val="en-US" w:eastAsia="zh-CN" w:bidi="ar-SA"/>
        </w:rPr>
        <w:t>.部门</w:t>
      </w:r>
      <w:r>
        <w:rPr>
          <w:rFonts w:hint="eastAsia" w:ascii="方正仿宋简体" w:hAnsi="方正仿宋简体" w:eastAsia="方正仿宋简体" w:cs="方正仿宋简体"/>
          <w:b/>
          <w:bCs/>
          <w:color w:val="auto"/>
          <w:kern w:val="2"/>
          <w:sz w:val="32"/>
          <w:szCs w:val="32"/>
          <w:highlight w:val="none"/>
          <w:lang w:val="en-US" w:eastAsia="zh-CN" w:bidi="ar-SA"/>
        </w:rPr>
        <w:t>效果</w:t>
      </w:r>
      <w:r>
        <w:rPr>
          <w:rFonts w:hint="default" w:ascii="方正仿宋简体" w:hAnsi="方正仿宋简体" w:eastAsia="方正仿宋简体" w:cs="方正仿宋简体"/>
          <w:b/>
          <w:bCs/>
          <w:color w:val="auto"/>
          <w:kern w:val="2"/>
          <w:sz w:val="32"/>
          <w:szCs w:val="32"/>
          <w:highlight w:val="none"/>
          <w:lang w:val="en-US" w:eastAsia="zh-CN" w:bidi="ar-SA"/>
        </w:rPr>
        <w:t>指标满分为30分，自评得分29分。</w:t>
      </w:r>
    </w:p>
    <w:p w14:paraId="0B3A4FBD">
      <w:pPr>
        <w:keepNext w:val="0"/>
        <w:keepLines w:val="0"/>
        <w:pageBreakBefore w:val="0"/>
        <w:numPr>
          <w:ilvl w:val="0"/>
          <w:numId w:val="0"/>
        </w:numPr>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方正仿宋简体" w:hAnsi="方正仿宋简体" w:eastAsia="方正仿宋简体" w:cs="方正仿宋简体"/>
          <w:color w:val="auto"/>
          <w:sz w:val="32"/>
          <w:szCs w:val="32"/>
          <w:highlight w:val="none"/>
          <w:lang w:val="en-US" w:eastAsia="zh-CN"/>
        </w:rPr>
      </w:pPr>
      <w:r>
        <w:rPr>
          <w:rFonts w:hint="eastAsia" w:ascii="方正仿宋简体" w:hAnsi="方正仿宋简体" w:eastAsia="方正仿宋简体" w:cs="方正仿宋简体"/>
          <w:color w:val="auto"/>
          <w:sz w:val="32"/>
          <w:szCs w:val="32"/>
          <w:highlight w:val="none"/>
          <w:lang w:val="en-US" w:eastAsia="zh-CN"/>
        </w:rPr>
        <w:t>预算资金执行率99.17%，切实发挥财政资金效益，得分9分；各级各类学校教学质量稳步提升，得到了广大师生及社会的认可，得分5分；通过支持学前教育、义务教育、普通高中、职业教育等各级改善资金的投入，大大提升了学校办学条件，促进县域内各级各类学校进一步优化提高，得分5分；优先实施农村地区教育改善工程，严格落实各学段学生资助政策，保障困难学生顺利完成学业，持续推动教育公平，得分5分；教育部门工作持续、平稳、优质、高效发展，得分5分。</w:t>
      </w:r>
    </w:p>
    <w:p w14:paraId="3E5ADCF0">
      <w:pPr>
        <w:keepNext w:val="0"/>
        <w:keepLines w:val="0"/>
        <w:pageBreakBefore w:val="0"/>
        <w:numPr>
          <w:ilvl w:val="0"/>
          <w:numId w:val="0"/>
        </w:numPr>
        <w:kinsoku/>
        <w:wordWrap/>
        <w:overflowPunct/>
        <w:topLinePunct w:val="0"/>
        <w:autoSpaceDE/>
        <w:autoSpaceDN/>
        <w:bidi w:val="0"/>
        <w:adjustRightInd/>
        <w:snapToGrid/>
        <w:spacing w:line="600" w:lineRule="exact"/>
        <w:ind w:firstLine="643" w:firstLineChars="200"/>
        <w:jc w:val="both"/>
        <w:textAlignment w:val="auto"/>
        <w:outlineLvl w:val="9"/>
        <w:rPr>
          <w:rFonts w:hint="default" w:ascii="方正仿宋简体" w:hAnsi="方正仿宋简体" w:eastAsia="方正仿宋简体" w:cs="方正仿宋简体"/>
          <w:b/>
          <w:bCs/>
          <w:color w:val="auto"/>
          <w:kern w:val="2"/>
          <w:sz w:val="32"/>
          <w:szCs w:val="32"/>
          <w:highlight w:val="none"/>
          <w:lang w:val="en-US" w:eastAsia="zh-CN" w:bidi="ar-SA"/>
        </w:rPr>
      </w:pPr>
      <w:r>
        <w:rPr>
          <w:rFonts w:hint="eastAsia" w:ascii="方正仿宋简体" w:hAnsi="方正仿宋简体" w:eastAsia="方正仿宋简体" w:cs="方正仿宋简体"/>
          <w:b/>
          <w:bCs/>
          <w:color w:val="auto"/>
          <w:kern w:val="2"/>
          <w:sz w:val="32"/>
          <w:szCs w:val="32"/>
          <w:highlight w:val="none"/>
          <w:lang w:val="en-US" w:eastAsia="zh-CN" w:bidi="ar-SA"/>
        </w:rPr>
        <w:t>4</w:t>
      </w:r>
      <w:r>
        <w:rPr>
          <w:rFonts w:hint="default" w:ascii="方正仿宋简体" w:hAnsi="方正仿宋简体" w:eastAsia="方正仿宋简体" w:cs="方正仿宋简体"/>
          <w:b/>
          <w:bCs/>
          <w:color w:val="auto"/>
          <w:kern w:val="2"/>
          <w:sz w:val="32"/>
          <w:szCs w:val="32"/>
          <w:highlight w:val="none"/>
          <w:lang w:val="en-US" w:eastAsia="zh-CN" w:bidi="ar-SA"/>
        </w:rPr>
        <w:t>.部门</w:t>
      </w:r>
      <w:r>
        <w:rPr>
          <w:rFonts w:hint="eastAsia" w:ascii="方正仿宋简体" w:hAnsi="方正仿宋简体" w:eastAsia="方正仿宋简体" w:cs="方正仿宋简体"/>
          <w:b/>
          <w:bCs/>
          <w:color w:val="auto"/>
          <w:kern w:val="2"/>
          <w:sz w:val="32"/>
          <w:szCs w:val="32"/>
          <w:highlight w:val="none"/>
          <w:lang w:val="en-US" w:eastAsia="zh-CN" w:bidi="ar-SA"/>
        </w:rPr>
        <w:t>满意度</w:t>
      </w:r>
      <w:r>
        <w:rPr>
          <w:rFonts w:hint="default" w:ascii="方正仿宋简体" w:hAnsi="方正仿宋简体" w:eastAsia="方正仿宋简体" w:cs="方正仿宋简体"/>
          <w:b/>
          <w:bCs/>
          <w:color w:val="auto"/>
          <w:kern w:val="2"/>
          <w:sz w:val="32"/>
          <w:szCs w:val="32"/>
          <w:highlight w:val="none"/>
          <w:lang w:val="en-US" w:eastAsia="zh-CN" w:bidi="ar-SA"/>
        </w:rPr>
        <w:t>指标满分为</w:t>
      </w:r>
      <w:r>
        <w:rPr>
          <w:rFonts w:hint="eastAsia" w:ascii="方正仿宋简体" w:hAnsi="方正仿宋简体" w:eastAsia="方正仿宋简体" w:cs="方正仿宋简体"/>
          <w:b/>
          <w:bCs/>
          <w:color w:val="auto"/>
          <w:kern w:val="2"/>
          <w:sz w:val="32"/>
          <w:szCs w:val="32"/>
          <w:highlight w:val="none"/>
          <w:lang w:val="en-US" w:eastAsia="zh-CN" w:bidi="ar-SA"/>
        </w:rPr>
        <w:t>10</w:t>
      </w:r>
      <w:r>
        <w:rPr>
          <w:rFonts w:hint="default" w:ascii="方正仿宋简体" w:hAnsi="方正仿宋简体" w:eastAsia="方正仿宋简体" w:cs="方正仿宋简体"/>
          <w:b/>
          <w:bCs/>
          <w:color w:val="auto"/>
          <w:kern w:val="2"/>
          <w:sz w:val="32"/>
          <w:szCs w:val="32"/>
          <w:highlight w:val="none"/>
          <w:lang w:val="en-US" w:eastAsia="zh-CN" w:bidi="ar-SA"/>
        </w:rPr>
        <w:t>分，自评得分</w:t>
      </w:r>
      <w:r>
        <w:rPr>
          <w:rFonts w:hint="eastAsia" w:ascii="方正仿宋简体" w:hAnsi="方正仿宋简体" w:eastAsia="方正仿宋简体" w:cs="方正仿宋简体"/>
          <w:b/>
          <w:bCs/>
          <w:color w:val="auto"/>
          <w:kern w:val="2"/>
          <w:sz w:val="32"/>
          <w:szCs w:val="32"/>
          <w:highlight w:val="none"/>
          <w:lang w:val="en-US" w:eastAsia="zh-CN" w:bidi="ar-SA"/>
        </w:rPr>
        <w:t>10</w:t>
      </w:r>
      <w:r>
        <w:rPr>
          <w:rFonts w:hint="default" w:ascii="方正仿宋简体" w:hAnsi="方正仿宋简体" w:eastAsia="方正仿宋简体" w:cs="方正仿宋简体"/>
          <w:b/>
          <w:bCs/>
          <w:color w:val="auto"/>
          <w:kern w:val="2"/>
          <w:sz w:val="32"/>
          <w:szCs w:val="32"/>
          <w:highlight w:val="none"/>
          <w:lang w:val="en-US" w:eastAsia="zh-CN" w:bidi="ar-SA"/>
        </w:rPr>
        <w:t>分。</w:t>
      </w:r>
    </w:p>
    <w:p w14:paraId="7F17A1D9">
      <w:pPr>
        <w:spacing w:line="560" w:lineRule="exact"/>
        <w:ind w:firstLine="640" w:firstLineChars="200"/>
        <w:rPr>
          <w:rFonts w:hint="eastAsia" w:ascii="方正仿宋简体" w:hAnsi="方正仿宋简体" w:eastAsia="方正仿宋简体" w:cs="方正仿宋简体"/>
          <w:color w:val="auto"/>
          <w:sz w:val="32"/>
          <w:szCs w:val="32"/>
          <w:highlight w:val="none"/>
          <w:lang w:val="en-US" w:eastAsia="zh-CN"/>
        </w:rPr>
      </w:pPr>
      <w:r>
        <w:rPr>
          <w:rFonts w:hint="eastAsia" w:ascii="方正仿宋简体" w:hAnsi="方正仿宋简体" w:eastAsia="方正仿宋简体" w:cs="方正仿宋简体"/>
          <w:color w:val="auto"/>
          <w:sz w:val="32"/>
          <w:szCs w:val="32"/>
          <w:highlight w:val="none"/>
          <w:lang w:val="en-US" w:eastAsia="zh-CN"/>
        </w:rPr>
        <w:t>对教育部门综合满意度测评，测评结果98%，超过年初预期指标，得分10分。</w:t>
      </w:r>
    </w:p>
    <w:p w14:paraId="601EC52F">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31F703F">
      <w:pPr>
        <w:spacing w:line="560" w:lineRule="exact"/>
        <w:ind w:firstLine="640" w:firstLineChars="200"/>
        <w:rPr>
          <w:rFonts w:hint="eastAsia" w:ascii="方正仿宋简体" w:hAnsi="方正仿宋简体" w:eastAsia="方正仿宋简体" w:cs="方正仿宋简体"/>
          <w:color w:val="auto"/>
          <w:sz w:val="32"/>
          <w:szCs w:val="32"/>
          <w:highlight w:val="none"/>
          <w:lang w:val="en-US" w:eastAsia="zh-CN"/>
        </w:rPr>
      </w:pPr>
      <w:r>
        <w:rPr>
          <w:rFonts w:hint="eastAsia" w:ascii="方正仿宋简体" w:hAnsi="方正仿宋简体" w:eastAsia="方正仿宋简体" w:cs="方正仿宋简体"/>
          <w:color w:val="auto"/>
          <w:sz w:val="32"/>
          <w:szCs w:val="32"/>
          <w:highlight w:val="none"/>
          <w:lang w:val="en-US" w:eastAsia="zh-CN"/>
        </w:rPr>
        <w:t>根据部门职责定位和各项工作履职情况进行综合评价，我部门2023年绩效评价得分97分，部门整体支出综合绩效等级为优秀。</w:t>
      </w:r>
    </w:p>
    <w:p w14:paraId="7672C0E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398C8F31">
      <w:pPr>
        <w:spacing w:line="560" w:lineRule="exact"/>
        <w:ind w:firstLine="640" w:firstLineChars="200"/>
        <w:rPr>
          <w:rFonts w:hint="eastAsia" w:ascii="方正仿宋简体" w:hAnsi="方正仿宋简体" w:eastAsia="方正仿宋简体" w:cs="方正仿宋简体"/>
          <w:color w:val="auto"/>
          <w:kern w:val="2"/>
          <w:sz w:val="32"/>
          <w:szCs w:val="32"/>
          <w:highlight w:val="none"/>
          <w:lang w:val="en-US" w:eastAsia="zh-CN" w:bidi="ar-SA"/>
        </w:rPr>
      </w:pPr>
      <w:r>
        <w:rPr>
          <w:rFonts w:hint="eastAsia" w:ascii="楷体" w:hAnsi="楷体" w:eastAsia="楷体"/>
          <w:bCs/>
          <w:sz w:val="32"/>
          <w:szCs w:val="32"/>
        </w:rPr>
        <w:t>（一）存在的主要问题</w:t>
      </w:r>
      <w:r>
        <w:rPr>
          <w:rFonts w:hint="eastAsia" w:ascii="楷体" w:hAnsi="楷体" w:eastAsia="楷体"/>
          <w:bCs/>
          <w:sz w:val="32"/>
          <w:szCs w:val="32"/>
          <w:lang w:eastAsia="zh-CN"/>
        </w:rPr>
        <w:t>。</w:t>
      </w:r>
      <w:r>
        <w:rPr>
          <w:rFonts w:hint="eastAsia" w:ascii="方正仿宋简体" w:hAnsi="方正仿宋简体" w:eastAsia="方正仿宋简体" w:cs="方正仿宋简体"/>
          <w:color w:val="auto"/>
          <w:kern w:val="2"/>
          <w:sz w:val="32"/>
          <w:szCs w:val="32"/>
          <w:highlight w:val="none"/>
          <w:lang w:val="en-US" w:eastAsia="zh-CN" w:bidi="ar-SA"/>
        </w:rPr>
        <w:t>井陉局2023年按照县委、县政府统一部署，统筹推进全县教育均衡、高质量发展，完成了改善办学条件建设、教师队伍建设、教育高质量发展等任务，整体支出绩效目标完成总体情况较好，但还有部分工作未达到年初目标任务。一是资产管理有待加强，个别下属预算单位的固定资产存在处置不及时、资产闲置的情况。二是部门单位内控制度不健全，内控工作仅浮于表面。三是下级单位年初预算时未做整体支出预算绩效目标，年末评价时未能客观地设计部门产出与效果，也未能进行预算完成情况评价。</w:t>
      </w:r>
    </w:p>
    <w:p w14:paraId="3E2466AD">
      <w:pPr>
        <w:spacing w:line="560" w:lineRule="exact"/>
        <w:ind w:firstLine="640" w:firstLineChars="200"/>
        <w:rPr>
          <w:rFonts w:hint="eastAsia" w:ascii="方正仿宋简体" w:hAnsi="方正仿宋简体" w:eastAsia="方正仿宋简体" w:cs="方正仿宋简体"/>
          <w:color w:val="auto"/>
          <w:kern w:val="2"/>
          <w:sz w:val="32"/>
          <w:szCs w:val="32"/>
          <w:highlight w:val="none"/>
          <w:lang w:val="en-US" w:eastAsia="zh-CN" w:bidi="ar-SA"/>
        </w:rPr>
      </w:pPr>
      <w:r>
        <w:rPr>
          <w:rFonts w:hint="eastAsia" w:ascii="楷体" w:hAnsi="楷体" w:eastAsia="楷体"/>
          <w:bCs/>
          <w:sz w:val="32"/>
          <w:szCs w:val="32"/>
        </w:rPr>
        <w:t>（二）针对问题提出具体的改进措施或建议</w:t>
      </w:r>
      <w:r>
        <w:rPr>
          <w:rFonts w:hint="eastAsia" w:ascii="楷体" w:hAnsi="楷体" w:eastAsia="楷体"/>
          <w:bCs/>
          <w:sz w:val="32"/>
          <w:szCs w:val="32"/>
          <w:lang w:eastAsia="zh-CN"/>
        </w:rPr>
        <w:t>。</w:t>
      </w:r>
      <w:r>
        <w:rPr>
          <w:rFonts w:hint="eastAsia" w:ascii="方正仿宋简体" w:hAnsi="方正仿宋简体" w:eastAsia="方正仿宋简体" w:cs="方正仿宋简体"/>
          <w:color w:val="auto"/>
          <w:kern w:val="2"/>
          <w:sz w:val="32"/>
          <w:szCs w:val="32"/>
          <w:highlight w:val="none"/>
          <w:lang w:val="en-US" w:eastAsia="zh-CN" w:bidi="ar-SA"/>
        </w:rPr>
        <w:t>一是加强预算执行进度的监督管理，提高预算执行率。加强对项目的立项审查工作，重点审查项目实施的必要性、前期准备工作情况及项目实施的条件，确保财政资金下达后项目得以快速实施，提高资金使用效率和效益。加强预算编制，在中长期目标基础上合理分配各年度计划目标，缩小预决算差异。 二是按照《行政事业单位内部控制规范》要求，健全完善部门财务、合同、资产、往来款等制度，加大执行力度，落实管理职责，促使部门实现规范、有效的管控。三是提升部门资产管理能力，加强部门及下属单位资产管理，提高资产使用效益。四是加强学校编制整体支出年初预算绩效目标，便于年末整体支出绩效评价。</w:t>
      </w:r>
    </w:p>
    <w:p w14:paraId="06D5A9F6">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8"/>
        <w:tblpPr w:leftFromText="180" w:rightFromText="180" w:vertAnchor="text" w:horzAnchor="page" w:tblpX="1620" w:tblpY="113"/>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80"/>
        <w:gridCol w:w="2040"/>
        <w:gridCol w:w="2895"/>
        <w:gridCol w:w="2533"/>
      </w:tblGrid>
      <w:tr w14:paraId="5954A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38DE9754">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黑体" w:hAnsi="黑体" w:eastAsia="黑体" w:cs="黑体"/>
                <w:sz w:val="32"/>
                <w:szCs w:val="32"/>
                <w:highlight w:val="none"/>
                <w:vertAlign w:val="baseline"/>
                <w:lang w:val="en-US" w:eastAsia="zh-CN"/>
              </w:rPr>
            </w:pPr>
            <w:r>
              <w:rPr>
                <w:rFonts w:hint="eastAsia" w:ascii="黑体" w:hAnsi="黑体" w:eastAsia="黑体" w:cs="黑体"/>
                <w:sz w:val="32"/>
                <w:szCs w:val="32"/>
                <w:highlight w:val="none"/>
                <w:vertAlign w:val="baseline"/>
                <w:lang w:val="en-US" w:eastAsia="zh-CN"/>
              </w:rPr>
              <w:t>姓名</w:t>
            </w:r>
          </w:p>
        </w:tc>
        <w:tc>
          <w:tcPr>
            <w:tcW w:w="2040" w:type="dxa"/>
          </w:tcPr>
          <w:p w14:paraId="1D55E854">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黑体" w:hAnsi="黑体" w:eastAsia="黑体" w:cs="黑体"/>
                <w:sz w:val="32"/>
                <w:szCs w:val="32"/>
                <w:highlight w:val="none"/>
                <w:vertAlign w:val="baseline"/>
                <w:lang w:val="en-US" w:eastAsia="zh-CN"/>
              </w:rPr>
            </w:pPr>
            <w:r>
              <w:rPr>
                <w:rFonts w:hint="eastAsia" w:ascii="黑体" w:hAnsi="黑体" w:eastAsia="黑体" w:cs="黑体"/>
                <w:sz w:val="32"/>
                <w:szCs w:val="32"/>
                <w:highlight w:val="none"/>
                <w:vertAlign w:val="baseline"/>
                <w:lang w:val="en-US" w:eastAsia="zh-CN"/>
              </w:rPr>
              <w:t>工作单位</w:t>
            </w:r>
          </w:p>
        </w:tc>
        <w:tc>
          <w:tcPr>
            <w:tcW w:w="2895" w:type="dxa"/>
          </w:tcPr>
          <w:p w14:paraId="752A7EA3">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黑体" w:hAnsi="黑体" w:eastAsia="黑体" w:cs="黑体"/>
                <w:sz w:val="32"/>
                <w:szCs w:val="32"/>
                <w:highlight w:val="none"/>
                <w:vertAlign w:val="baseline"/>
                <w:lang w:val="en-US" w:eastAsia="zh-CN"/>
              </w:rPr>
            </w:pPr>
            <w:r>
              <w:rPr>
                <w:rFonts w:hint="eastAsia" w:ascii="黑体" w:hAnsi="黑体" w:eastAsia="黑体" w:cs="黑体"/>
                <w:sz w:val="32"/>
                <w:szCs w:val="32"/>
                <w:highlight w:val="none"/>
                <w:vertAlign w:val="baseline"/>
                <w:lang w:val="en-US" w:eastAsia="zh-CN"/>
              </w:rPr>
              <w:t>职务</w:t>
            </w:r>
          </w:p>
        </w:tc>
        <w:tc>
          <w:tcPr>
            <w:tcW w:w="2533" w:type="dxa"/>
          </w:tcPr>
          <w:p w14:paraId="3F92F8D2">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黑体" w:hAnsi="黑体" w:eastAsia="黑体" w:cs="黑体"/>
                <w:sz w:val="32"/>
                <w:szCs w:val="32"/>
                <w:highlight w:val="none"/>
                <w:vertAlign w:val="baseline"/>
                <w:lang w:val="en-US" w:eastAsia="zh-CN"/>
              </w:rPr>
            </w:pPr>
            <w:r>
              <w:rPr>
                <w:rFonts w:hint="eastAsia" w:ascii="黑体" w:hAnsi="黑体" w:eastAsia="黑体" w:cs="黑体"/>
                <w:sz w:val="32"/>
                <w:szCs w:val="32"/>
                <w:highlight w:val="none"/>
                <w:vertAlign w:val="baseline"/>
                <w:lang w:val="en-US" w:eastAsia="zh-CN"/>
              </w:rPr>
              <w:t>职称</w:t>
            </w:r>
          </w:p>
        </w:tc>
      </w:tr>
      <w:tr w14:paraId="38AFD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3FB65DF8">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朱剑宏</w:t>
            </w:r>
          </w:p>
        </w:tc>
        <w:tc>
          <w:tcPr>
            <w:tcW w:w="2040" w:type="dxa"/>
          </w:tcPr>
          <w:p w14:paraId="7F3CD98D">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井陉县教育局</w:t>
            </w:r>
          </w:p>
        </w:tc>
        <w:tc>
          <w:tcPr>
            <w:tcW w:w="2895" w:type="dxa"/>
          </w:tcPr>
          <w:p w14:paraId="0727261B">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副局长</w:t>
            </w:r>
          </w:p>
        </w:tc>
        <w:tc>
          <w:tcPr>
            <w:tcW w:w="2533" w:type="dxa"/>
          </w:tcPr>
          <w:p w14:paraId="2684F18E">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default"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二级主任科员</w:t>
            </w:r>
          </w:p>
        </w:tc>
      </w:tr>
      <w:tr w14:paraId="56C09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05653B73">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default"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张志勇</w:t>
            </w:r>
          </w:p>
        </w:tc>
        <w:tc>
          <w:tcPr>
            <w:tcW w:w="2040" w:type="dxa"/>
          </w:tcPr>
          <w:p w14:paraId="4D33F02D">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rPr>
            </w:pPr>
            <w:r>
              <w:rPr>
                <w:rFonts w:hint="eastAsia" w:ascii="方正仿宋简体" w:hAnsi="方正仿宋简体" w:eastAsia="方正仿宋简体" w:cs="方正仿宋简体"/>
                <w:sz w:val="28"/>
                <w:szCs w:val="28"/>
                <w:highlight w:val="none"/>
                <w:vertAlign w:val="baseline"/>
                <w:lang w:val="en-US" w:eastAsia="zh-CN"/>
              </w:rPr>
              <w:t>井陉县教育局</w:t>
            </w:r>
          </w:p>
        </w:tc>
        <w:tc>
          <w:tcPr>
            <w:tcW w:w="2895" w:type="dxa"/>
          </w:tcPr>
          <w:p w14:paraId="2DDF5591">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发展规划股股长</w:t>
            </w:r>
          </w:p>
        </w:tc>
        <w:tc>
          <w:tcPr>
            <w:tcW w:w="2533" w:type="dxa"/>
          </w:tcPr>
          <w:p w14:paraId="0B05D48F">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rPr>
            </w:pPr>
            <w:r>
              <w:rPr>
                <w:rFonts w:hint="eastAsia" w:ascii="方正仿宋简体" w:hAnsi="方正仿宋简体" w:eastAsia="方正仿宋简体" w:cs="方正仿宋简体"/>
                <w:sz w:val="28"/>
                <w:szCs w:val="28"/>
                <w:highlight w:val="none"/>
                <w:vertAlign w:val="baseline"/>
                <w:lang w:val="en-US" w:eastAsia="zh-CN"/>
              </w:rPr>
              <w:t>中小学高级教师</w:t>
            </w:r>
          </w:p>
        </w:tc>
      </w:tr>
      <w:tr w14:paraId="2E2C2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1FB03266">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刘海忠</w:t>
            </w:r>
          </w:p>
        </w:tc>
        <w:tc>
          <w:tcPr>
            <w:tcW w:w="2040" w:type="dxa"/>
          </w:tcPr>
          <w:p w14:paraId="7FB6885E">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rPr>
            </w:pPr>
            <w:r>
              <w:rPr>
                <w:rFonts w:hint="eastAsia" w:ascii="方正仿宋简体" w:hAnsi="方正仿宋简体" w:eastAsia="方正仿宋简体" w:cs="方正仿宋简体"/>
                <w:sz w:val="28"/>
                <w:szCs w:val="28"/>
                <w:highlight w:val="none"/>
                <w:vertAlign w:val="baseline"/>
                <w:lang w:val="en-US" w:eastAsia="zh-CN"/>
              </w:rPr>
              <w:t>井陉县教育局</w:t>
            </w:r>
          </w:p>
        </w:tc>
        <w:tc>
          <w:tcPr>
            <w:tcW w:w="2895" w:type="dxa"/>
          </w:tcPr>
          <w:p w14:paraId="6AA63F1C">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rPr>
            </w:pPr>
            <w:r>
              <w:rPr>
                <w:rFonts w:hint="eastAsia" w:ascii="方正仿宋简体" w:hAnsi="方正仿宋简体" w:eastAsia="方正仿宋简体" w:cs="方正仿宋简体"/>
                <w:sz w:val="28"/>
                <w:szCs w:val="28"/>
                <w:highlight w:val="none"/>
                <w:vertAlign w:val="baseline"/>
                <w:lang w:val="en-US" w:eastAsia="zh-CN"/>
              </w:rPr>
              <w:t>发展规划股副股长</w:t>
            </w:r>
          </w:p>
        </w:tc>
        <w:tc>
          <w:tcPr>
            <w:tcW w:w="2533" w:type="dxa"/>
          </w:tcPr>
          <w:p w14:paraId="58F97414">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rPr>
            </w:pPr>
            <w:r>
              <w:rPr>
                <w:rFonts w:hint="eastAsia" w:ascii="方正仿宋简体" w:hAnsi="方正仿宋简体" w:eastAsia="方正仿宋简体" w:cs="方正仿宋简体"/>
                <w:sz w:val="28"/>
                <w:szCs w:val="28"/>
                <w:highlight w:val="none"/>
                <w:vertAlign w:val="baseline"/>
                <w:lang w:val="en-US" w:eastAsia="zh-CN"/>
              </w:rPr>
              <w:t>中小学一级教师</w:t>
            </w:r>
          </w:p>
        </w:tc>
      </w:tr>
      <w:tr w14:paraId="6D0BC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77267E0D">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default"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李海鹏</w:t>
            </w:r>
          </w:p>
        </w:tc>
        <w:tc>
          <w:tcPr>
            <w:tcW w:w="2040" w:type="dxa"/>
            <w:vAlign w:val="top"/>
          </w:tcPr>
          <w:p w14:paraId="6F1469D7">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right="0" w:rightChars="0" w:firstLine="0" w:firstLineChars="0"/>
              <w:jc w:val="center"/>
              <w:textAlignment w:val="auto"/>
              <w:outlineLvl w:val="9"/>
              <w:rPr>
                <w:rFonts w:hint="eastAsia" w:ascii="方正仿宋简体" w:hAnsi="方正仿宋简体" w:eastAsia="方正仿宋简体" w:cs="方正仿宋简体"/>
                <w:kern w:val="2"/>
                <w:sz w:val="28"/>
                <w:szCs w:val="28"/>
                <w:highlight w:val="none"/>
                <w:vertAlign w:val="baseline"/>
                <w:lang w:val="en-US" w:eastAsia="zh-CN" w:bidi="ar-SA"/>
              </w:rPr>
            </w:pPr>
            <w:r>
              <w:rPr>
                <w:rFonts w:hint="eastAsia" w:ascii="方正仿宋简体" w:hAnsi="方正仿宋简体" w:eastAsia="方正仿宋简体" w:cs="方正仿宋简体"/>
                <w:sz w:val="28"/>
                <w:szCs w:val="28"/>
                <w:highlight w:val="none"/>
                <w:vertAlign w:val="baseline"/>
                <w:lang w:val="en-US" w:eastAsia="zh-CN"/>
              </w:rPr>
              <w:t>井陉县教育局</w:t>
            </w:r>
          </w:p>
        </w:tc>
        <w:tc>
          <w:tcPr>
            <w:tcW w:w="2895" w:type="dxa"/>
            <w:vAlign w:val="top"/>
          </w:tcPr>
          <w:p w14:paraId="357651EE">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right="0" w:rightChars="0" w:firstLine="0" w:firstLineChars="0"/>
              <w:jc w:val="center"/>
              <w:textAlignment w:val="auto"/>
              <w:outlineLvl w:val="9"/>
              <w:rPr>
                <w:rFonts w:hint="eastAsia" w:ascii="方正仿宋简体" w:hAnsi="方正仿宋简体" w:eastAsia="方正仿宋简体" w:cs="方正仿宋简体"/>
                <w:kern w:val="2"/>
                <w:sz w:val="28"/>
                <w:szCs w:val="28"/>
                <w:highlight w:val="none"/>
                <w:vertAlign w:val="baseline"/>
                <w:lang w:val="en-US" w:eastAsia="zh-CN" w:bidi="ar-SA"/>
              </w:rPr>
            </w:pPr>
            <w:r>
              <w:rPr>
                <w:rFonts w:hint="eastAsia" w:ascii="方正仿宋简体" w:hAnsi="方正仿宋简体" w:eastAsia="方正仿宋简体" w:cs="方正仿宋简体"/>
                <w:sz w:val="28"/>
                <w:szCs w:val="28"/>
                <w:highlight w:val="none"/>
                <w:vertAlign w:val="baseline"/>
                <w:lang w:val="en-US" w:eastAsia="zh-CN"/>
              </w:rPr>
              <w:t>发展规划股副股长</w:t>
            </w:r>
          </w:p>
        </w:tc>
        <w:tc>
          <w:tcPr>
            <w:tcW w:w="2533" w:type="dxa"/>
            <w:vAlign w:val="top"/>
          </w:tcPr>
          <w:p w14:paraId="4D203DB7">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right="0" w:rightChars="0" w:firstLine="0" w:firstLineChars="0"/>
              <w:jc w:val="center"/>
              <w:textAlignment w:val="auto"/>
              <w:outlineLvl w:val="9"/>
              <w:rPr>
                <w:rFonts w:hint="eastAsia" w:ascii="方正仿宋简体" w:hAnsi="方正仿宋简体" w:eastAsia="方正仿宋简体" w:cs="方正仿宋简体"/>
                <w:kern w:val="2"/>
                <w:sz w:val="28"/>
                <w:szCs w:val="28"/>
                <w:highlight w:val="none"/>
                <w:vertAlign w:val="baseline"/>
                <w:lang w:val="en-US" w:eastAsia="zh-CN" w:bidi="ar-SA"/>
              </w:rPr>
            </w:pPr>
            <w:r>
              <w:rPr>
                <w:rFonts w:hint="eastAsia" w:ascii="方正仿宋简体" w:hAnsi="方正仿宋简体" w:eastAsia="方正仿宋简体" w:cs="方正仿宋简体"/>
                <w:sz w:val="28"/>
                <w:szCs w:val="28"/>
                <w:highlight w:val="none"/>
                <w:vertAlign w:val="baseline"/>
                <w:lang w:val="en-US" w:eastAsia="zh-CN"/>
              </w:rPr>
              <w:t>中小学一级教师</w:t>
            </w:r>
          </w:p>
        </w:tc>
      </w:tr>
      <w:tr w14:paraId="5B82A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35604784">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尹丽荣</w:t>
            </w:r>
          </w:p>
        </w:tc>
        <w:tc>
          <w:tcPr>
            <w:tcW w:w="2040" w:type="dxa"/>
          </w:tcPr>
          <w:p w14:paraId="49888343">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rPr>
            </w:pPr>
            <w:r>
              <w:rPr>
                <w:rFonts w:hint="eastAsia" w:ascii="方正仿宋简体" w:hAnsi="方正仿宋简体" w:eastAsia="方正仿宋简体" w:cs="方正仿宋简体"/>
                <w:sz w:val="28"/>
                <w:szCs w:val="28"/>
                <w:highlight w:val="none"/>
                <w:vertAlign w:val="baseline"/>
                <w:lang w:val="en-US" w:eastAsia="zh-CN"/>
              </w:rPr>
              <w:t>井陉县教育局</w:t>
            </w:r>
          </w:p>
        </w:tc>
        <w:tc>
          <w:tcPr>
            <w:tcW w:w="2895" w:type="dxa"/>
          </w:tcPr>
          <w:p w14:paraId="36B7044B">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会计</w:t>
            </w:r>
          </w:p>
        </w:tc>
        <w:tc>
          <w:tcPr>
            <w:tcW w:w="2533" w:type="dxa"/>
          </w:tcPr>
          <w:p w14:paraId="78701E23">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rPr>
            </w:pPr>
            <w:r>
              <w:rPr>
                <w:rFonts w:hint="eastAsia" w:ascii="方正仿宋简体" w:hAnsi="方正仿宋简体" w:eastAsia="方正仿宋简体" w:cs="方正仿宋简体"/>
                <w:sz w:val="28"/>
                <w:szCs w:val="28"/>
                <w:highlight w:val="none"/>
                <w:vertAlign w:val="baseline"/>
                <w:lang w:val="en-US" w:eastAsia="zh-CN"/>
              </w:rPr>
              <w:t>中小学二级教师</w:t>
            </w:r>
          </w:p>
        </w:tc>
      </w:tr>
      <w:tr w14:paraId="12D87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3312BAE5">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王丽娜</w:t>
            </w:r>
          </w:p>
        </w:tc>
        <w:tc>
          <w:tcPr>
            <w:tcW w:w="2040" w:type="dxa"/>
            <w:vAlign w:val="top"/>
          </w:tcPr>
          <w:p w14:paraId="238F51C8">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right="0" w:rightChars="0" w:firstLine="0" w:firstLineChars="0"/>
              <w:jc w:val="center"/>
              <w:textAlignment w:val="auto"/>
              <w:outlineLvl w:val="9"/>
              <w:rPr>
                <w:rFonts w:hint="eastAsia" w:ascii="方正仿宋简体" w:hAnsi="方正仿宋简体" w:eastAsia="方正仿宋简体" w:cs="方正仿宋简体"/>
                <w:kern w:val="2"/>
                <w:sz w:val="28"/>
                <w:szCs w:val="28"/>
                <w:highlight w:val="none"/>
                <w:vertAlign w:val="baseline"/>
                <w:lang w:val="en-US" w:eastAsia="zh-CN" w:bidi="ar-SA"/>
              </w:rPr>
            </w:pPr>
            <w:r>
              <w:rPr>
                <w:rFonts w:hint="eastAsia" w:ascii="方正仿宋简体" w:hAnsi="方正仿宋简体" w:eastAsia="方正仿宋简体" w:cs="方正仿宋简体"/>
                <w:sz w:val="28"/>
                <w:szCs w:val="28"/>
                <w:highlight w:val="none"/>
                <w:vertAlign w:val="baseline"/>
                <w:lang w:val="en-US" w:eastAsia="zh-CN"/>
              </w:rPr>
              <w:t>井陉县教育局</w:t>
            </w:r>
          </w:p>
        </w:tc>
        <w:tc>
          <w:tcPr>
            <w:tcW w:w="2895" w:type="dxa"/>
            <w:vAlign w:val="top"/>
          </w:tcPr>
          <w:p w14:paraId="5E8FD5F7">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left="0" w:leftChars="0" w:right="0" w:rightChars="0" w:firstLine="0" w:firstLineChars="0"/>
              <w:jc w:val="center"/>
              <w:textAlignment w:val="auto"/>
              <w:outlineLvl w:val="9"/>
              <w:rPr>
                <w:rFonts w:hint="eastAsia" w:ascii="方正仿宋简体" w:hAnsi="方正仿宋简体" w:eastAsia="方正仿宋简体" w:cs="方正仿宋简体"/>
                <w:kern w:val="2"/>
                <w:sz w:val="28"/>
                <w:szCs w:val="28"/>
                <w:highlight w:val="none"/>
                <w:vertAlign w:val="baseline"/>
                <w:lang w:val="en-US" w:eastAsia="zh-CN" w:bidi="ar-SA"/>
              </w:rPr>
            </w:pPr>
            <w:r>
              <w:rPr>
                <w:rFonts w:hint="eastAsia" w:ascii="方正仿宋简体" w:hAnsi="方正仿宋简体" w:eastAsia="方正仿宋简体" w:cs="方正仿宋简体"/>
                <w:sz w:val="28"/>
                <w:szCs w:val="28"/>
                <w:highlight w:val="none"/>
                <w:vertAlign w:val="baseline"/>
                <w:lang w:val="en-US" w:eastAsia="zh-CN"/>
              </w:rPr>
              <w:t>会计</w:t>
            </w:r>
          </w:p>
        </w:tc>
        <w:tc>
          <w:tcPr>
            <w:tcW w:w="2533" w:type="dxa"/>
          </w:tcPr>
          <w:p w14:paraId="48FE1F97">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default"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中小学一级教师</w:t>
            </w:r>
          </w:p>
        </w:tc>
      </w:tr>
      <w:tr w14:paraId="73D2A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80" w:type="dxa"/>
          </w:tcPr>
          <w:p w14:paraId="2C3095E9">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冀海花</w:t>
            </w:r>
          </w:p>
        </w:tc>
        <w:tc>
          <w:tcPr>
            <w:tcW w:w="2040" w:type="dxa"/>
          </w:tcPr>
          <w:p w14:paraId="0F066DFF">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rPr>
            </w:pPr>
            <w:r>
              <w:rPr>
                <w:rFonts w:hint="eastAsia" w:ascii="方正仿宋简体" w:hAnsi="方正仿宋简体" w:eastAsia="方正仿宋简体" w:cs="方正仿宋简体"/>
                <w:sz w:val="28"/>
                <w:szCs w:val="28"/>
                <w:highlight w:val="none"/>
                <w:vertAlign w:val="baseline"/>
                <w:lang w:val="en-US" w:eastAsia="zh-CN"/>
              </w:rPr>
              <w:t>井陉县教育局</w:t>
            </w:r>
          </w:p>
        </w:tc>
        <w:tc>
          <w:tcPr>
            <w:tcW w:w="2895" w:type="dxa"/>
          </w:tcPr>
          <w:p w14:paraId="3A874457">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lang w:val="en-US" w:eastAsia="zh-CN"/>
              </w:rPr>
            </w:pPr>
            <w:r>
              <w:rPr>
                <w:rFonts w:hint="eastAsia" w:ascii="方正仿宋简体" w:hAnsi="方正仿宋简体" w:eastAsia="方正仿宋简体" w:cs="方正仿宋简体"/>
                <w:sz w:val="28"/>
                <w:szCs w:val="28"/>
                <w:highlight w:val="none"/>
                <w:vertAlign w:val="baseline"/>
                <w:lang w:val="en-US" w:eastAsia="zh-CN"/>
              </w:rPr>
              <w:t>出纳</w:t>
            </w:r>
          </w:p>
        </w:tc>
        <w:tc>
          <w:tcPr>
            <w:tcW w:w="2533" w:type="dxa"/>
          </w:tcPr>
          <w:p w14:paraId="411F8787">
            <w:pPr>
              <w:keepNext w:val="0"/>
              <w:keepLines w:val="0"/>
              <w:pageBreakBefore w:val="0"/>
              <w:widowControl w:val="0"/>
              <w:numPr>
                <w:ilvl w:val="0"/>
                <w:numId w:val="0"/>
              </w:numPr>
              <w:kinsoku/>
              <w:wordWrap/>
              <w:overflowPunct/>
              <w:topLinePunct w:val="0"/>
              <w:autoSpaceDE/>
              <w:autoSpaceDN/>
              <w:bidi w:val="0"/>
              <w:adjustRightInd w:val="0"/>
              <w:snapToGrid w:val="0"/>
              <w:spacing w:line="600" w:lineRule="exact"/>
              <w:ind w:right="0" w:rightChars="0"/>
              <w:jc w:val="center"/>
              <w:textAlignment w:val="auto"/>
              <w:outlineLvl w:val="9"/>
              <w:rPr>
                <w:rFonts w:hint="eastAsia" w:ascii="方正仿宋简体" w:hAnsi="方正仿宋简体" w:eastAsia="方正仿宋简体" w:cs="方正仿宋简体"/>
                <w:sz w:val="28"/>
                <w:szCs w:val="28"/>
                <w:highlight w:val="none"/>
                <w:vertAlign w:val="baseline"/>
              </w:rPr>
            </w:pPr>
            <w:r>
              <w:rPr>
                <w:rFonts w:hint="eastAsia" w:ascii="方正仿宋简体" w:hAnsi="方正仿宋简体" w:eastAsia="方正仿宋简体" w:cs="方正仿宋简体"/>
                <w:sz w:val="28"/>
                <w:szCs w:val="28"/>
                <w:highlight w:val="none"/>
                <w:vertAlign w:val="baseline"/>
                <w:lang w:val="en-US" w:eastAsia="zh-CN"/>
              </w:rPr>
              <w:t>中小学一级教师</w:t>
            </w:r>
          </w:p>
        </w:tc>
      </w:tr>
    </w:tbl>
    <w:p w14:paraId="66EA4C7A">
      <w:pPr>
        <w:spacing w:line="560" w:lineRule="exact"/>
        <w:rPr>
          <w:rFonts w:ascii="仿宋" w:hAnsi="仿宋" w:eastAsia="仿宋"/>
        </w:rPr>
      </w:pPr>
    </w:p>
    <w:p w14:paraId="01412E6A">
      <w:pPr>
        <w:pStyle w:val="2"/>
        <w:rPr>
          <w:rFonts w:ascii="仿宋" w:hAnsi="仿宋" w:eastAsia="仿宋"/>
        </w:rPr>
      </w:pPr>
    </w:p>
    <w:p w14:paraId="3E8467B7">
      <w:pPr>
        <w:pStyle w:val="2"/>
        <w:ind w:left="6080" w:hanging="6080" w:hangingChars="1900"/>
        <w:jc w:val="left"/>
        <w:rPr>
          <w:rFonts w:hint="eastAsia" w:ascii="方正仿宋简体" w:hAnsi="方正仿宋简体" w:eastAsia="方正仿宋简体" w:cs="方正仿宋简体"/>
          <w:color w:val="auto"/>
          <w:kern w:val="2"/>
          <w:sz w:val="32"/>
          <w:szCs w:val="32"/>
          <w:highlight w:val="none"/>
          <w:lang w:val="en-US" w:eastAsia="zh-CN" w:bidi="ar-SA"/>
        </w:rPr>
      </w:pPr>
      <w:r>
        <w:rPr>
          <w:rFonts w:hint="eastAsia" w:ascii="方正仿宋简体" w:hAnsi="方正仿宋简体" w:eastAsia="方正仿宋简体" w:cs="方正仿宋简体"/>
          <w:color w:val="auto"/>
          <w:kern w:val="2"/>
          <w:sz w:val="32"/>
          <w:szCs w:val="32"/>
          <w:highlight w:val="none"/>
          <w:lang w:val="en-US" w:eastAsia="zh-CN" w:bidi="ar-SA"/>
        </w:rPr>
        <w:t xml:space="preserve">                                       </w:t>
      </w:r>
    </w:p>
    <w:p w14:paraId="136F8078">
      <w:pPr>
        <w:pStyle w:val="2"/>
        <w:ind w:left="6065" w:leftChars="2888" w:firstLine="320" w:firstLineChars="100"/>
        <w:jc w:val="left"/>
        <w:rPr>
          <w:rFonts w:hint="default" w:ascii="方正仿宋简体" w:hAnsi="方正仿宋简体" w:eastAsia="方正仿宋简体" w:cs="方正仿宋简体"/>
          <w:color w:val="auto"/>
          <w:kern w:val="2"/>
          <w:sz w:val="32"/>
          <w:szCs w:val="32"/>
          <w:highlight w:val="none"/>
          <w:lang w:val="en-US" w:eastAsia="zh-CN" w:bidi="ar-SA"/>
        </w:rPr>
      </w:pPr>
      <w:r>
        <w:rPr>
          <w:rFonts w:hint="eastAsia" w:ascii="方正仿宋简体" w:hAnsi="方正仿宋简体" w:eastAsia="方正仿宋简体" w:cs="方正仿宋简体"/>
          <w:color w:val="auto"/>
          <w:kern w:val="2"/>
          <w:sz w:val="32"/>
          <w:szCs w:val="32"/>
          <w:highlight w:val="none"/>
          <w:lang w:val="en-US" w:eastAsia="zh-CN" w:bidi="ar-SA"/>
        </w:rPr>
        <w:t>井陉县教育局                          2024年7月12日</w:t>
      </w:r>
    </w:p>
    <w:sectPr>
      <w:footerReference r:id="rId3" w:type="default"/>
      <w:pgSz w:w="11906" w:h="16838"/>
      <w:pgMar w:top="1587" w:right="1587" w:bottom="1587"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华文楷体">
    <w:panose1 w:val="02010600040101010101"/>
    <w:charset w:val="86"/>
    <w:family w:val="auto"/>
    <w:pitch w:val="default"/>
    <w:sig w:usb0="00000287" w:usb1="080F0000" w:usb2="00000000" w:usb3="00000000" w:csb0="0004009F" w:csb1="DFD70000"/>
  </w:font>
  <w:font w:name="方正仿宋简体">
    <w:panose1 w:val="03000509000000000000"/>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98B934">
    <w:pPr>
      <w:pStyle w:val="4"/>
    </w:pPr>
    <w:r>
      <mc:AlternateContent>
        <mc:Choice Requires="wps">
          <w:drawing>
            <wp:anchor distT="0" distB="0" distL="114300" distR="114300" simplePos="0" relativeHeight="251659264" behindDoc="0" locked="0" layoutInCell="1" allowOverlap="1">
              <wp:simplePos x="0" y="0"/>
              <wp:positionH relativeFrom="margin">
                <wp:posOffset>2632710</wp:posOffset>
              </wp:positionH>
              <wp:positionV relativeFrom="paragraph">
                <wp:posOffset>-95250</wp:posOffset>
              </wp:positionV>
              <wp:extent cx="1828800" cy="31242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312420"/>
                      </a:xfrm>
                      <a:prstGeom prst="rect">
                        <a:avLst/>
                      </a:prstGeom>
                      <a:noFill/>
                      <a:ln>
                        <a:noFill/>
                      </a:ln>
                    </wps:spPr>
                    <wps:txbx>
                      <w:txbxContent>
                        <w:p w14:paraId="44C91489">
                          <w:pPr>
                            <w:snapToGrid w:val="0"/>
                            <w:rPr>
                              <w:sz w:val="18"/>
                            </w:rPr>
                          </w:pPr>
                          <w:r>
                            <w:rPr>
                              <w:rFonts w:hint="eastAsia"/>
                              <w:sz w:val="28"/>
                              <w:szCs w:val="28"/>
                            </w:rPr>
                            <w:fldChar w:fldCharType="begin"/>
                          </w:r>
                          <w:r>
                            <w:rPr>
                              <w:rFonts w:hint="eastAsia"/>
                              <w:sz w:val="28"/>
                              <w:szCs w:val="28"/>
                            </w:rPr>
                            <w:instrText xml:space="preserve"> PAGE  \* MERGEFORMAT </w:instrText>
                          </w:r>
                          <w:r>
                            <w:rPr>
                              <w:rFonts w:hint="eastAsia"/>
                              <w:sz w:val="28"/>
                              <w:szCs w:val="28"/>
                            </w:rPr>
                            <w:fldChar w:fldCharType="separate"/>
                          </w:r>
                          <w:r>
                            <w:rPr>
                              <w:sz w:val="28"/>
                              <w:szCs w:val="28"/>
                            </w:rPr>
                            <w:t>- 1 -</w:t>
                          </w:r>
                          <w:r>
                            <w:rPr>
                              <w:rFonts w:hint="eastAsia"/>
                              <w:sz w:val="28"/>
                              <w:szCs w:val="28"/>
                            </w:rPr>
                            <w:fldChar w:fldCharType="end"/>
                          </w:r>
                        </w:p>
                      </w:txbxContent>
                    </wps:txbx>
                    <wps:bodyPr wrap="none" lIns="0" tIns="0" rIns="0" bIns="0" upright="1">
                      <a:noAutofit/>
                    </wps:bodyPr>
                  </wps:wsp>
                </a:graphicData>
              </a:graphic>
            </wp:anchor>
          </w:drawing>
        </mc:Choice>
        <mc:Fallback>
          <w:pict>
            <v:shape id="Quad Arrow 3073" o:spid="_x0000_s1026" o:spt="202" type="#_x0000_t202" style="position:absolute;left:0pt;margin-left:207.3pt;margin-top:-7.5pt;height:24.6pt;width:144pt;mso-position-horizontal-relative:margin;mso-wrap-style:none;z-index:251659264;mso-width-relative:page;mso-height-relative:page;" filled="f" stroked="f" coordsize="21600,21600" o:gfxdata="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29+NjXAAAACgEAAA8AAAAAAAAAAQAgAAAAIgAAAGRycy9kb3ducmV2&#10;LnhtbFBLAQIUABQAAAAIAIdO4kCDLa9pxAEAAJwDAAAOAAAAAAAAAAEAIAAAACYBAABkcnMvZTJv&#10;RG9jLnhtbFBLBQYAAAAABgAGAFkBAABcBQAAAAA=&#10;">
              <v:fill on="f" focussize="0,0"/>
              <v:stroke on="f"/>
              <v:imagedata o:title=""/>
              <o:lock v:ext="edit" aspectratio="f"/>
              <v:textbox inset="0mm,0mm,0mm,0mm">
                <w:txbxContent>
                  <w:p w14:paraId="44C91489">
                    <w:pPr>
                      <w:snapToGrid w:val="0"/>
                      <w:rPr>
                        <w:sz w:val="18"/>
                      </w:rPr>
                    </w:pPr>
                    <w:r>
                      <w:rPr>
                        <w:rFonts w:hint="eastAsia"/>
                        <w:sz w:val="28"/>
                        <w:szCs w:val="28"/>
                      </w:rPr>
                      <w:fldChar w:fldCharType="begin"/>
                    </w:r>
                    <w:r>
                      <w:rPr>
                        <w:rFonts w:hint="eastAsia"/>
                        <w:sz w:val="28"/>
                        <w:szCs w:val="28"/>
                      </w:rPr>
                      <w:instrText xml:space="preserve"> PAGE  \* MERGEFORMAT </w:instrText>
                    </w:r>
                    <w:r>
                      <w:rPr>
                        <w:rFonts w:hint="eastAsia"/>
                        <w:sz w:val="28"/>
                        <w:szCs w:val="28"/>
                      </w:rPr>
                      <w:fldChar w:fldCharType="separate"/>
                    </w:r>
                    <w:r>
                      <w:rPr>
                        <w:sz w:val="28"/>
                        <w:szCs w:val="28"/>
                      </w:rPr>
                      <w:t>- 1 -</w:t>
                    </w:r>
                    <w:r>
                      <w:rPr>
                        <w:rFonts w:hint="eastAsia"/>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3B4369"/>
    <w:rsid w:val="11B71E6A"/>
    <w:rsid w:val="12DC1144"/>
    <w:rsid w:val="16A377C0"/>
    <w:rsid w:val="1A693E78"/>
    <w:rsid w:val="1AAF0063"/>
    <w:rsid w:val="1BE140DE"/>
    <w:rsid w:val="1D6F4B57"/>
    <w:rsid w:val="1F9004D9"/>
    <w:rsid w:val="227078F5"/>
    <w:rsid w:val="232F274B"/>
    <w:rsid w:val="248C197D"/>
    <w:rsid w:val="252959AF"/>
    <w:rsid w:val="26AF4526"/>
    <w:rsid w:val="27062195"/>
    <w:rsid w:val="277A6671"/>
    <w:rsid w:val="292D35B7"/>
    <w:rsid w:val="2BBD0B4F"/>
    <w:rsid w:val="31151E97"/>
    <w:rsid w:val="33227172"/>
    <w:rsid w:val="33EB6CFF"/>
    <w:rsid w:val="35A12947"/>
    <w:rsid w:val="37387040"/>
    <w:rsid w:val="3B0548E0"/>
    <w:rsid w:val="3B625C0A"/>
    <w:rsid w:val="3CEE1963"/>
    <w:rsid w:val="40DE7456"/>
    <w:rsid w:val="436B78D3"/>
    <w:rsid w:val="4C9C27FE"/>
    <w:rsid w:val="4D050FF6"/>
    <w:rsid w:val="512260B4"/>
    <w:rsid w:val="52BD6ACB"/>
    <w:rsid w:val="55213065"/>
    <w:rsid w:val="55537534"/>
    <w:rsid w:val="561A74F1"/>
    <w:rsid w:val="57576ED8"/>
    <w:rsid w:val="597244E8"/>
    <w:rsid w:val="5A865F78"/>
    <w:rsid w:val="5BEC315F"/>
    <w:rsid w:val="5EB71C30"/>
    <w:rsid w:val="60CE1853"/>
    <w:rsid w:val="64BB02E6"/>
    <w:rsid w:val="66AF0CE5"/>
    <w:rsid w:val="6AA27932"/>
    <w:rsid w:val="6AC537CF"/>
    <w:rsid w:val="6E5B14A6"/>
    <w:rsid w:val="6E9C1D0A"/>
    <w:rsid w:val="711B255E"/>
    <w:rsid w:val="7A2E7072"/>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2"/>
    <w:basedOn w:val="1"/>
    <w:next w:val="1"/>
    <w:qFormat/>
    <w:uiPriority w:val="0"/>
    <w:pPr>
      <w:keepNext/>
      <w:keepLines/>
      <w:spacing w:before="260" w:after="260"/>
      <w:jc w:val="center"/>
      <w:outlineLvl w:val="1"/>
    </w:pPr>
    <w:rPr>
      <w:rFonts w:ascii="宋体" w:hAnsi="宋体" w:eastAsia="华文中宋" w:cs="宋体"/>
      <w:kern w:val="0"/>
      <w:sz w:val="44"/>
      <w:szCs w:val="2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w:basedOn w:val="1"/>
    <w:unhideWhenUsed/>
    <w:qFormat/>
    <w:uiPriority w:val="99"/>
    <w:pPr>
      <w:spacing w:after="120" w:afterLines="0" w:afterAutospacing="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Normal (Web)"/>
    <w:basedOn w:val="1"/>
    <w:qFormat/>
    <w:uiPriority w:val="0"/>
    <w:pPr>
      <w:widowControl/>
      <w:spacing w:before="100" w:beforeAutospacing="1" w:after="100" w:afterAutospacing="1"/>
      <w:jc w:val="left"/>
    </w:pPr>
    <w:rPr>
      <w:rFonts w:ascii="宋体" w:hAnsi="宋体" w:cs="宋体"/>
      <w:kern w:val="0"/>
      <w:sz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5704</Words>
  <Characters>6027</Characters>
  <Lines>4</Lines>
  <Paragraphs>1</Paragraphs>
  <TotalTime>0</TotalTime>
  <ScaleCrop>false</ScaleCrop>
  <LinksUpToDate>false</LinksUpToDate>
  <CharactersWithSpaces>6050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Fiona</cp:lastModifiedBy>
  <cp:lastPrinted>2024-03-06T07:40:00Z</cp:lastPrinted>
  <dcterms:modified xsi:type="dcterms:W3CDTF">2025-11-05T08:58:02Z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807859DDDB204D7484EDDFBB4E9D1D2E</vt:lpwstr>
  </property>
  <property fmtid="{D5CDD505-2E9C-101B-9397-08002B2CF9AE}" pid="4" name="KSOTemplateDocerSaveRecord">
    <vt:lpwstr>eyJoZGlkIjoiZmNlYjhkODkzODVhZDQxZTIyOGFkZGVhMzBkNTUzZmEiLCJ1c2VySWQiOiIyNDgyNjgxOTkifQ==</vt:lpwstr>
  </property>
</Properties>
</file>